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WaStrG — Überleitungs- und Schlussbestimmungen</w:t>
      </w:r>
    </w:p>
    <w:p>
      <w:r>
        <w:rPr>
          <w:color w:val="555555"/>
          <w:sz w:val="18"/>
        </w:rPr>
        <w:t xml:space="preserve">Bundeswasserstraßengesetz</w:t>
      </w:r>
    </w:p>
    <w:p>
      <w:r>
        <w:rPr>
          <w:color w:val="555555"/>
          <w:sz w:val="18"/>
        </w:rPr>
        <w:t xml:space="preserve">Stand: 31.07.2026 (konsolidierte Textfassung, kein amtliches Inkrafttretensdatum)</w:t>
      </w:r>
    </w:p>
    <w:p>
      <w:r>
        <w:t xml:space="preserve">(1) Wenn bei dem Inkrafttreten dieses Gesetzes Talsperren und Speicherbecken mit Wasserfahrzeugen befahren werden dürfen, ist eine neue Zulassung nach der auf Grund des § 46 Nr. 2 erlassenen Rechtsverordnung nicht nötig.</w:t>
      </w:r>
    </w:p>
    <w:p>
      <w:r>
        <w:t xml:space="preserve">(2) Für die Fortführung der beim Inkrafttreten dieses Gesetzes anhängigen Verfahren zum Ausbau oder Neubau einer Bundeswasserstraße gelten die Bestimmungen dieses Gesetzes, wenn eine Sachentscheidung bis zum Inkrafttreten dieses Gesetzes noch nicht ergangen ist.</w:t>
      </w:r>
    </w:p>
    <w:p>
      <w:r>
        <w:t xml:space="preserve">(3) Soweit bei dem Inkrafttreten dieses Gesetzes die Rhein-Main-Donau Aktiengesellschaft, die Neckar Aktiengesellschaft, die Donaukraftwerk Jochenstein Aktiengesellschaft und die Mittelweser-Aktiengesellschaft vertraglich verpflichtet sind, Bundeswasserstraßen auszubauen oder neu zu bauen, ist eine neue Übertragung nach § 12 Abs. 5 nicht nötig.</w:t>
      </w:r>
    </w:p>
    <w:p>
      <w:r>
        <w:t xml:space="preserve">(4) Die der Rhein-Main-Donau Aktiengesellschaft in Durchführung des Main-Donau-Staatsvertrages vom 13. Juni 1921 übertragene Aufgabe wird durch die Aufhebung des Rhein-Main-Donau-Gesetzes vom 11. Mai 1938 (§ 57 Abs. 1 Nr. 5) nicht berührt.</w:t>
      </w:r>
    </w:p>
    <w:p>
      <w:r>
        <w:t xml:space="preserve">(5) (weggefallen)</w:t>
      </w:r>
    </w:p>
    <w:p>
      <w:r>
        <w:t xml:space="preserve">(6) (weggefallen)</w:t>
      </w:r>
    </w:p>
    <w:p>
      <w:r>
        <w:t xml:space="preserve">(7) Wurde für eine Maßnahme nach § 12 Absatz 2 Satz 1 Nummer 3 vor dem 9. Juni 2021 ein Verfahren zur Unterrichtung über den Untersuchungsrahmen nach § 15 des Gesetzes über die Umweltverträglichkeitsprüfung oder ein Planfeststellungs- oder Plangenehmigungsverfahren nach § 68 des Wasserhaushaltsgesetzes eingeleitet, so führt die zuständige Landesbehörde dieses Verfahren nach dem bis zum 9. Juni 2021 geltenden Recht fort.</w:t>
      </w:r>
    </w:p>
    <w:p>
      <w:r>
        <w:t xml:space="preserve">(8) Sind dem bisherigen Träger einer Maßnahme nach § 12 Absatz 2 Satz 1 Nummer 3, für die vor dem 9. Juni 2021 noch kein Verfahren zur Unterrichtung über den Untersuchungsrahmen nach § 15 des Gesetzes über die Umweltverträglichkeitsprüfung oder kein Planfeststellungs- oder Plangenehmigungsverfahren nach § 68 des Wasserhaushaltsgesetzes eingeleitet worden ist, Kosten entstanden, so kann er hierfür keine Erstattung vom Bund verlangen.</w:t>
      </w:r>
    </w:p>
    <w:p>
      <w:r>
        <w:t xml:space="preserve">(9) Für Kreuzungsvereinbarungen, die bis einschließlich 28. Oktober 2026 geschlossen werden, gelten die Vorschriften dieses Gesetzes in der bis einschließlich 28. Juli 2026 geltenden Fassung.</w:t>
      </w:r>
    </w:p>
    <w:p>
      <w:r>
        <w:t xml:space="preserve">(10) Für vor dem 29. Juli 2026 und bis zum 31. Dezember 2028 beantragte Planfeststellungs- oder Plangenehmigungsverfahren kann die Planfeststellungsbehörde für alle oder einzelne Verfahrensschritte das Verwaltungsverfahrensgesetz in der Fassung der Bekanntmachung vom 23. Januar 2003 (BGBl. I S. 102), das zuletzt durch Artikel 24 Absatz 3 des Gesetzes vom 25. Juni 2021 (BGBl. I S. 2154) geändert worden ist, nach Maßgabe dieses Gesetzes in der bis einschließlich 28. Juli 2026 geltenden Fassung anwenden. Satz 1 gilt entsprechend, wenn das Gesetz über die Umweltverträglichkeitsprüfung anzuwenden ist und dieses auf das Verwaltungsverfahrensgesetz verweist.</w:t>
      </w:r>
    </w:p>
    <w:p>
      <w:r>
        <w:rPr>
          <w:color w:val="555555"/>
          <w:sz w:val="17"/>
        </w:rPr>
        <w:t xml:space="preserve">Zitiervorschlag: § 56 WaStrG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