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WaStrG — Ordnungswidrigkeiten</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Ordnungswidrig handelt, wer vorsätzlich oder fahrlässig</w:t>
      </w:r>
    </w:p>
    <w:p>
      <w:pPr>
        <w:ind w:left="420"/>
      </w:pPr>
      <w:r>
        <w:t xml:space="preserve">1. entgegen § 5 eine Talsperre oder ein Speicherbecken mit Wasserfahrzeugen befährt,</w:t>
      </w:r>
    </w:p>
    <w:p>
      <w:pPr>
        <w:ind w:left="420"/>
      </w:pPr>
      <w:r>
        <w:t xml:space="preserve">2. einer Vorschrift einer nach § 5 Satz 3, § 27 oder § 46 Nr. 1 bis 3 ergangenen Rechtsverordnung, einer auf Grund einer solchen Rechtsverordnung ergangenen vollziehbaren Anordnung oder einer vollziehbaren Auflage einer auf Grund einer solchen Rechtsverordnung ergangenen Genehmigung zuwiderhandelt, soweit die Rechtsverordnung für einen bestimmten Tatbestand auf diese Bußgeldvorschrift verweist,</w:t>
      </w:r>
    </w:p>
    <w:p>
      <w:pPr>
        <w:ind w:left="420"/>
      </w:pPr>
      <w:r>
        <w:t xml:space="preserve">3. entgegen der Vorschrift des § 30 Abs. 2 ein Hindernis beseitigt oder Gegenstände von diesem fortschafft,</w:t>
      </w:r>
    </w:p>
    <w:p>
      <w:pPr>
        <w:ind w:left="420"/>
      </w:pPr>
      <w:r>
        <w:t xml:space="preserve">4. entgegen § 31 Abs. 1 ohne strom- und schifffahrtspolizeiliche Genehmigung eine Bundeswasserstraße benutzt oder Anlagen errichtet, verändert oder betreibt oder einer nach § 31 Abs. 4 erteilten Auflage nicht nachkommt,</w:t>
      </w:r>
    </w:p>
    <w:p>
      <w:pPr>
        <w:ind w:left="420"/>
      </w:pPr>
      <w:r>
        <w:t xml:space="preserve">5. entgegen der Vorschrift des § 33 Abs. 1</w:t>
      </w:r>
    </w:p>
    <w:p>
      <w:pPr>
        <w:ind w:left="780"/>
      </w:pPr>
      <w:r>
        <w:t xml:space="preserve">a) das Betreten von Grundstücken nicht gestattet, Anlagen oder Einrichtungen nicht zugänglich macht oder technische Ermittlungen oder Prüfungen nicht duldet,</w:t>
      </w:r>
    </w:p>
    <w:p>
      <w:pPr>
        <w:ind w:left="780"/>
      </w:pPr>
      <w:r>
        <w:t xml:space="preserve">b) die erforderlichen Arbeitskräfte, Unterlagen oder Werkzeuge nicht zur Verfügung stellt oder</w:t>
      </w:r>
    </w:p>
    <w:p>
      <w:pPr>
        <w:ind w:left="780"/>
      </w:pPr>
      <w:r>
        <w:t xml:space="preserve">c) die Auskunft nicht, unrichtig, unvollständig oder nicht rechtzeitig erteilt,</w:t>
      </w:r>
    </w:p>
    <w:p>
      <w:pPr>
        <w:ind w:left="420"/>
      </w:pPr>
      <w:r>
        <w:t xml:space="preserve">6. ohne die nach § 34 Abs. 2 erforderliche Genehmigung ein Schifffahrtszeichen setzt oder betreibt oder</w:t>
      </w:r>
    </w:p>
    <w:p>
      <w:pPr>
        <w:ind w:left="420"/>
      </w:pPr>
      <w:r>
        <w:t xml:space="preserve">7. der Vorschrift des § 34 Abs. 4 über die Ausgestaltung oder den Betrieb von Anlagen, ortsfesten Einrichtungen oder Schifffahrtszeichen zuwiderhandelt.</w:t>
      </w:r>
    </w:p>
    <w:p>
      <w:r>
        <w:t xml:space="preserve">(2) Die Ordnungswidrigkeit kann mit einer Geldbuße bis zu fünftausend Euro geahndet werden.</w:t>
      </w:r>
    </w:p>
    <w:p>
      <w:r>
        <w:t xml:space="preserve">(3) Verwaltungsbehörde im Sinne des § 36 Abs. 1 Nr. 1 des Gesetzes über Ordnungswidrigkeiten ist die Generaldirektion Wasserstraßen und Schifffahrt.</w:t>
      </w:r>
    </w:p>
    <w:p>
      <w:r>
        <w:rPr>
          <w:color w:val="555555"/>
          <w:sz w:val="17"/>
        </w:rPr>
        <w:t xml:space="preserve">Zitiervorschlag: § 50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