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WaStrG — Rechtsverordnungen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Das Bundesministerium für Verkehr wird ermächtigt, Rechtsverordnungen zu erlassen über</w:t>
      </w:r>
    </w:p>
    <w:p>
      <w:pPr>
        <w:ind w:left="420"/>
      </w:pPr>
      <w:r>
        <w:t xml:space="preserve">1. die Regelung des Betriebs von Anlagen nach § 1 Absatz 6 Nummer 1,</w:t>
      </w:r>
    </w:p>
    <w:p>
      <w:pPr>
        <w:ind w:left="420"/>
      </w:pPr>
      <w:r>
        <w:t xml:space="preserve">2. die Zulassung des Befahrens von Talsperren und Speicherbecken mit Wasserfahrzeugen (§ 5),</w:t>
      </w:r>
    </w:p>
    <w:p>
      <w:pPr>
        <w:ind w:left="420"/>
      </w:pPr>
      <w:r>
        <w:t xml:space="preserve">3. die Regelung, Beschränkung oder Untersagung des Gemeingebrauchs im Rahmen des § 6,</w:t>
      </w:r>
    </w:p>
    <w:p>
      <w:pPr>
        <w:ind w:left="420"/>
      </w:pPr>
      <w:r>
        <w:t xml:space="preserve">4. die Zuständigkeiten der Behörden der Wasserstraßen- und Schifffahrtsverwaltung des Bundes, wenn ihre Zuständigkeiten nicht bereits im Gesetz festgelegt sind.</w:t>
      </w:r>
    </w:p>
    <w:p>
      <w:r>
        <w:t xml:space="preserve">Das Bundesministerium für Verkehr kann durch Rechtsverordnung diese Ermächtigung auf die Generaldirektion Wasserstraßen und Schifffahrt übertragen.</w:t>
      </w:r>
    </w:p>
    <w:p>
      <w:r>
        <w:rPr>
          <w:color w:val="555555"/>
          <w:sz w:val="17"/>
        </w:rPr>
        <w:t xml:space="preserve">Zitiervorschlag: § 46 WaStrG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