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WaStrG — Erweiterung und Durchstiche</w:t>
      </w:r>
    </w:p>
    <w:p>
      <w:r>
        <w:rPr>
          <w:color w:val="555555"/>
          <w:sz w:val="18"/>
        </w:rPr>
        <w:t xml:space="preserve">Bundeswasserstraßengesetz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Werden Landflächen an einer Bundeswasserstraße zum Gewässer und wird dadurch das Gewässerbett der Bundeswasserstraße für dauernd erweitert, so ist das Gewässer ein Teil der Bundeswasserstraße.</w:t>
      </w:r>
    </w:p>
    <w:p>
      <w:r>
        <w:t xml:space="preserve">(2) Das Eigentum an der Erweiterung wächst dem Bund lastenfrei zu. Ist die Erweiterung künstlich herbeigeführt, hat derjenige, der sie veranlasst hat, den bisherigen Eigentümer zu entschädigen.</w:t>
      </w:r>
    </w:p>
    <w:p>
      <w:r>
        <w:t xml:space="preserve">(3) Die Absätze 1 und 2 gelten auch für Durchstiche an Bundeswasserstraßen.</w:t>
      </w:r>
    </w:p>
    <w:p>
      <w:r>
        <w:rPr>
          <w:color w:val="555555"/>
          <w:sz w:val="17"/>
        </w:rPr>
        <w:t xml:space="preserve">Zitiervorschlag: § 3 WaStrG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https://recht.nulegal.eu/gesetze/WaStrG/3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