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WaStrG — Strompolizeiverordnungen</w:t>
      </w:r>
    </w:p>
    <w:p>
      <w:r>
        <w:rPr>
          <w:color w:val="555555"/>
          <w:sz w:val="18"/>
        </w:rPr>
        <w:t xml:space="preserve">Bundeswasserstraßengesetz</w:t>
      </w:r>
    </w:p>
    <w:p>
      <w:r>
        <w:rPr>
          <w:color w:val="555555"/>
          <w:sz w:val="18"/>
        </w:rPr>
        <w:t xml:space="preserve">Stand: 31.07.2026 (konsolidierte Textfassung, kein amtliches Inkrafttretensdatum)</w:t>
      </w:r>
    </w:p>
    <w:p>
      <w:r>
        <w:t xml:space="preserve">(1) Das Bundesministerium für Verkehr wird ermächtigt, Rechtsverordnungen zur Gefahrenabwehr nach § 24 Abs. 1 (Strompolizeiverordnungen) zu erlassen.</w:t>
      </w:r>
    </w:p>
    <w:p>
      <w:r>
        <w:t xml:space="preserve">(2) Das Bundesministerium für Verkehr kann durch Rechtsverordnung die Ermächtigung nach Absatz 1 auf die Generaldirektion Wasserstraßen und Schifffahrt übertragen.</w:t>
      </w:r>
    </w:p>
    <w:p>
      <w:r>
        <w:t xml:space="preserve">(3) Strompolizeiverordnungen müssen in ihrem Inhalt bestimmt sein.</w:t>
      </w:r>
    </w:p>
    <w:p>
      <w:r>
        <w:t xml:space="preserve">(4) Zuständig für die Änderung oder Aufhebung einer Strompolizeiverordnung ist die im Zeitpunkt der Änderung oder Aufhebung für ihren Erlass zuständige Behörde.</w:t>
      </w:r>
    </w:p>
    <w:p>
      <w:r>
        <w:rPr>
          <w:color w:val="555555"/>
          <w:sz w:val="17"/>
        </w:rPr>
        <w:t xml:space="preserve">Zitiervorschlag: § 27 WaStrG</w:t>
      </w:r>
    </w:p>
    <w:p>
      <w:r>
        <w:rPr>
          <w:color w:val="555555"/>
          <w:sz w:val="17"/>
        </w:rPr>
        <w:t xml:space="preserve">Quelle: Bundesamt für Justiz, abgerufen 31.07.2026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