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WaStrG — Strompolizei</w:t>
      </w:r>
    </w:p>
    <w:p>
      <w:r>
        <w:rPr>
          <w:color w:val="555555"/>
          <w:sz w:val="18"/>
        </w:rPr>
        <w:t xml:space="preserve">Bundeswasserstraßengesetz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Behörden der Wasserstraßen- und Schifffahrtsverwaltung des Bundes haben die Aufgabe, zur Gefahrenabwehr Maßnahmen zu treffen, die nötig sind, um die Bundeswasserstraßen in einem für die Schifffahrt erforderlichen Zustand zu erhalten (Strompolizei).</w:t>
      </w:r>
    </w:p>
    <w:p>
      <w:r>
        <w:t xml:space="preserve">(2) Zur strompolizeilichen Überwachung der Bundeswasserstraßen dürfen Beauftragte der Wasserstraßen- und Schifffahrtsverwaltung Grundstücke, Anlagen und Einrichtungen sowie Wasserfahrzeuge betreten. Das Grundrecht auf Unverletzlichkeit der Wohnung (Artikel 13 Abs. 1 des Grundgesetzes) wird insoweit eingeschränkt.</w:t>
      </w:r>
    </w:p>
    <w:p>
      <w:r>
        <w:t xml:space="preserve">(3) Die Hafenaufsicht (Hafenpolizei) bleibt unberührt.</w:t>
      </w:r>
    </w:p>
    <w:p>
      <w:r>
        <w:rPr>
          <w:color w:val="555555"/>
          <w:sz w:val="17"/>
        </w:rPr>
        <w:t xml:space="preserve">Zitiervorschlag: § 24 WaStrG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