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WaStrG — Bestandsänderung</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Soll ein Gewässer Bundeswasserstraße werden oder soll ein Gewässer die Eigenschaft als Bundeswasserstraße verlieren, bedarf es einer Vereinbarung zwischen dem Bund, dem Land und dem bisherigen oder dem künftigen Eigentümer. Den Übergang bewirkt ein Bundesgesetz; das Bundesministerium für Verkehr wird ermächtigt, im Einvernehmen mit dem Bundesministerium der Finanzen den Übergang von Gewässern oder Gewässerstrecken mit nur örtlicher Bedeutung durch Rechtsverordnung zu bewirken.</w:t>
      </w:r>
    </w:p>
    <w:p>
      <w:r>
        <w:t xml:space="preserve">(2) In Rechtsvorschriften nach Absatz 1 ist die Anlage 1 zu ändern.</w:t>
      </w:r>
    </w:p>
    <w:p>
      <w:r>
        <w:rPr>
          <w:color w:val="555555"/>
          <w:sz w:val="17"/>
        </w:rPr>
        <w:t xml:space="preserve">Zitiervorschlag: § 2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