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WaStrG — Grenzüberschreitende Vorhaben im transeuropäischen Verkehrsnetz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Bei grenzüberschreitenden Vorhaben nach § 18 Absatz 1 Satz 1 sollen die zuständigen Behörden zusammenarbeiten, erforderliche Informationen, Unterlagen und Dokumente austauschen und die nationalen Zeitpläne ihrer Genehmigungsverfahren abstimmen.</w:t>
      </w:r>
    </w:p>
    <w:p>
      <w:r>
        <w:t xml:space="preserve">(2) Das Bundesministerium für Verkehr hat die nach Artikel 52 der Verordnung (EU) 2024/1679 benannten Europäischen Koordinatoren auf deren Ersuchen über den Sachstand des grenzüberscheitenden Vorhabens zu unterrichten.</w:t>
      </w:r>
    </w:p>
    <w:p>
      <w:r>
        <w:t xml:space="preserve">(3) Wird die Frist nach § 18 Absatz 1 Satz 1 und 2 nicht eingehalten, hat das Bundesministerium für Verkehr bei grenzüberschreitenden Vorhaben nach Absatz 1 die Europäischen Koordinatoren auf deren Ersuchen über Maßnahmen zum zügigen Abschluss des Planfeststellungsverfahren oder Plangenehmigungsverfahrens zu unterrichten.</w:t>
      </w:r>
    </w:p>
    <w:p>
      <w:r>
        <w:rPr>
          <w:color w:val="555555"/>
          <w:sz w:val="17"/>
        </w:rPr>
        <w:t xml:space="preserve">Zitiervorschlag: § 18a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