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WaStrG — Veränderungssperre, Vorkaufsrecht</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Sobald der Plan ausgelegt ist oder andere Gelegenheit gegeben ist, den Plan einzusehen (§ 73 Absatz 1 des Verwaltungsverfahrensgesetzes), dürfen auf den vom Plan betroffenen Flächen bis zu ihrer Inanspruchnahme wesentlich wertsteigernde oder die geplanten Baumaßnahmen erheblich erschwerende Veränderungen nicht vorgenommen werden (Veränderungssperre). Veränderungen, die in rechtlich zulässiger Weise vorher begonnen worden sind, Unterhaltungsarbeiten und die Fortführung einer bisher ausgeübten Nutzung werden davon nicht berührt. Unzulässige Veränderungen bleiben bei der Anordnung von Vorkehrungen und Anlagen (§ 74 Absatz 2 des Verwaltungsverfahrensgesetzes) und im Entschädigungsverfahren unberücksichtigt.</w:t>
      </w:r>
    </w:p>
    <w:p>
      <w:r>
        <w:t xml:space="preserve">(2) Dauert die Veränderungssperre über vier Jahre, können die Eigentümer für die dadurch entstandenen Vermögensnachteile Entschädigung verlangen.</w:t>
      </w:r>
    </w:p>
    <w:p>
      <w:r>
        <w:t xml:space="preserve">(3) In den Fällen des Absatzes 1 Satz 1 steht dem Bund an den betroffenen Flächen ein Vorkaufsrecht zu.</w:t>
      </w:r>
    </w:p>
    <w:p>
      <w:r>
        <w:rPr>
          <w:color w:val="555555"/>
          <w:sz w:val="17"/>
        </w:rPr>
        <w:t xml:space="preserve">Zitiervorschlag: § 15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