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WaStrG — Besondere Pflichten im Interesse der Unterhaltung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Soweit es zur Unterhaltung einer Bundeswasserstraße erforderlich ist, haben die Anlieger und die Hinterlieger nach vorheriger Ankündigung zu dulden, dass Beauftragte des Bundes die Grundstücke betreten, vorübergehend benutzen und aus ihnen Bestandteile entnehmen, wenn diese sonst nur mit unverhältnismäßig hohen Kosten beschafft werden können.</w:t>
      </w:r>
    </w:p>
    <w:p>
      <w:r>
        <w:t xml:space="preserve">(2) Die Anlieger haben das Bepflanzen der Ufer zu dulden, soweit es für die Unterhaltung der Bundeswasserstraße erforderlich ist. Die Anlieger können durch Verfügung der Behörden der Wasserstraßen- und Schifffahrtsverwaltung des Bundes verpflichtet werden, die Ufergrundstücke in erforderlicher Breite so zu bewirtschaften, dass die Unterhaltung nicht beeinträchtigt wird; sie haben bei der Nutzung die Erfordernisse des Uferschutzes zu beachten.</w:t>
      </w:r>
    </w:p>
    <w:p>
      <w:r>
        <w:t xml:space="preserve">(3) Entstehen durch Handlungen nach Absatz 1 oder 2 Schäden, hat der Geschädigte Anspruch auf Schadenersatz.</w:t>
      </w:r>
    </w:p>
    <w:p>
      <w:r>
        <w:t xml:space="preserve">(4) Der Inhaber einer strom- und schifffahrtspolizeilichen Genehmigung (§ 31) hat ohne Anspruch auf Entschädigung zu dulden, dass die Ausübung der Genehmigung durch Arbeiten zur Unterhaltung vorübergehend behindert oder unterbrochen wird. Auf die Interessen des zur Duldung Verpflichteten ist Rücksicht zu nehmen.</w:t>
      </w:r>
    </w:p>
    <w:p>
      <w:r>
        <w:rPr>
          <w:color w:val="555555"/>
          <w:sz w:val="17"/>
        </w:rPr>
        <w:t xml:space="preserve">Zitiervorschlag: § 11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