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WaStrG — Binnenwasserstraßen, Seewasserstraßen</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Bundeswasserstraßen nach diesem Gesetz sind</w:t>
      </w:r>
    </w:p>
    <w:p>
      <w:pPr>
        <w:ind w:left="420"/>
      </w:pPr>
      <w:r>
        <w:t xml:space="preserve">1. die Binnenwasserstraßen des Bundes, die dem Verkehr mit Güter- und Fahrgastschiffen oder der Sport- und Freizeitschifffahrt mit Wasserfahrzeugen dienen; als solche gelten die in der Anlage 1 aufgeführten Wasserstraßen, dazu gehören auch alle Gewässerteile,</w:t>
      </w:r>
    </w:p>
    <w:p>
      <w:pPr>
        <w:ind w:left="780"/>
      </w:pPr>
      <w:r>
        <w:t xml:space="preserve">a) die mit der Bundeswasserstraße in ihrem Erscheinungsbild als natürliche Einheit anzusehen sind,</w:t>
      </w:r>
    </w:p>
    <w:p>
      <w:pPr>
        <w:ind w:left="780"/>
      </w:pPr>
      <w:r>
        <w:t xml:space="preserve">b) die mit der Bundeswasserstraße durch einen Wasserzufluss oder Wasserabfluss in Verbindung stehen und</w:t>
      </w:r>
    </w:p>
    <w:p>
      <w:pPr>
        <w:ind w:left="780"/>
      </w:pPr>
      <w:r>
        <w:t xml:space="preserve">c) die im Eigentum des Bundes stehen,</w:t>
      </w:r>
    </w:p>
    <w:p>
      <w:pPr>
        <w:ind w:left="420"/>
      </w:pPr>
      <w:r>
        <w:t xml:space="preserve">2. die Seewasserstraßen.</w:t>
      </w:r>
    </w:p>
    <w:p>
      <w:r>
        <w:t xml:space="preserve">(2) Unbeschadet der Regelung in Absatz 6 wird die seitliche Abgrenzung der Binnenwasserstraßen des Bundes durch die Uferlinie gebildet. Die Uferlinie ist die Linie des Mittelwasserstandes, bei staugeregelten Bundeswasserstraßen die Linie des Stauziels oder bei tidebeeinflussten Binnenwasserstraßen die Linie des mittleren Tidehochwasserstandes.</w:t>
      </w:r>
    </w:p>
    <w:p>
      <w:r>
        <w:t xml:space="preserve">(3) Ufer einer Binnenwasserstraße des Bundes ist der Bereich zwischen der Uferlinie gemäß Absatz 2 und der Linie des mittleren Hochwasserstandes. Davon ausgenommen sind die tidebeeinflussten Binnenwasserstraßen, in denen das Ufer zwischen der Linie des mittleren Tideniedrigwasserstandes und der Linie des mittleren Tidehochwasserstandes verläuft. Befindet sich unterhalb der Linie des mittleren Hochwasserstandes oder des Tidehochwasserstandes eine Böschungskante als natürliche landseitige Abgrenzung, tritt diese an die Stelle der Linie des mittleren Hochwasserstandes.</w:t>
      </w:r>
    </w:p>
    <w:p>
      <w:r>
        <w:t xml:space="preserve">(4) Seewasserstraßen sind die Flächen zwischen der Küstenlinie bei mittlerem Hochwasser oder der seewärtigen Begrenzung der Binnenwasserstraßen und der seewärtigen Begrenzung des Küstenmeeres. Zu den Seewasserstraßen gehören nicht die Hafeneinfahrten, die von Leitdämmen oder Molen ein- oder beidseitig begrenzt sind, die Außentiefs, die Küstenschutz-, Entwässerungs-, Landgewinnungsbauwerke, Badeanlagen und der trockenfallende Badestrand.</w:t>
      </w:r>
    </w:p>
    <w:p>
      <w:r>
        <w:t xml:space="preserve">(5) Soweit die Erfüllung der Verwaltungsaufgaben des Bundes nicht beeinträchtigt wird, kann das jeweilige Land das Eigentum des Bundes an den Seewasserstraßen und an den angrenzenden Mündungstrichtern der Binnenwasserstraßen unentgeltlich nutzen,</w:t>
      </w:r>
    </w:p>
    <w:p>
      <w:pPr>
        <w:ind w:left="420"/>
      </w:pPr>
      <w:r>
        <w:t xml:space="preserve">1. wenn die Nutzung öffentlichen Interessen dient, insbesondere zur Landgewinnung, Boden- und Wasserentnahme, Errichtung von Hafenanlagen, zu Maßnahmen für den Küstenschutz und für den Wasserabfluss sowie für die Durchführung des Badebetriebes,</w:t>
      </w:r>
    </w:p>
    <w:p>
      <w:pPr>
        <w:ind w:left="420"/>
      </w:pPr>
      <w:r>
        <w:t xml:space="preserve">2. zur Ausübung des Jagdrechts, der Muschelfischerei, der Schillgewinnung, der Landwirtschaft sowie der aus dem Eigentum sich ergebenden Befugnisse zur Nutzung von Bodenschätzen.</w:t>
      </w:r>
    </w:p>
    <w:p>
      <w:r>
        <w:t xml:space="preserve">Das Land wird Eigentümer der nach Nummer 1 gewonnenen Land- und Hafenflächen und errichteten Bauwerke. Es kann die Nutzungsbefugnisse nach Nummer 1 und 2 im Einzelfall auf einen Dritten übertragen. Rechte Dritter bleiben unberührt.</w:t>
      </w:r>
    </w:p>
    <w:p>
      <w:r>
        <w:t xml:space="preserve">(6) Zu den Bundeswasserstraßen gehören auch</w:t>
      </w:r>
    </w:p>
    <w:p>
      <w:pPr>
        <w:ind w:left="420"/>
      </w:pPr>
      <w:r>
        <w:t xml:space="preserve">1. die bundeseigenen Schifffahrtsanlagen, besonders Schleusen, Schiffshebewerke, Wehre, Schutz-, Liege- und Bauhäfen sowie bundeseigene Talsperren, Speicherbecken und andere Speisungs- und Entlastungsanlagen,</w:t>
      </w:r>
    </w:p>
    <w:p>
      <w:pPr>
        <w:ind w:left="420"/>
      </w:pPr>
      <w:r>
        <w:t xml:space="preserve">2. die ihrer Unterhaltung dienenden bundeseigenen Ufergrundstücke, Bauhöfe und Werkstätten,</w:t>
      </w:r>
    </w:p>
    <w:p>
      <w:pPr>
        <w:ind w:left="420"/>
      </w:pPr>
      <w:r>
        <w:t xml:space="preserve">3. bundeseigene Einrichtungen oder Gewässerteile, die der Erhaltung oder Wiederherstellung der Durchgängigkeit bei Stauanlagen, die von der Wasserstraßen- und Schifffahrtsverwaltung des Bundes errichtet oder betrieben werden, dienen.</w:t>
      </w:r>
    </w:p>
    <w:p>
      <w:r>
        <w:t xml:space="preserve">(7) Das Bundesministerium für Verkehr wird vorbehaltlich des § 2 ermächtigt, die Anlage 1 durch Rechtsverordnung mit Zustimmung des Bundesrates so zu ändern, dass dort aufgeführte Bundeswasserstraßen ganz oder teilweise zusammengefasst oder getrennt, Bezeichnungen für sie festgesetzt oder geändert werden.</w:t>
      </w:r>
    </w:p>
    <w:p>
      <w:r>
        <w:rPr>
          <w:color w:val="555555"/>
          <w:sz w:val="17"/>
        </w:rPr>
        <w:t xml:space="preserve">Zitiervorschlag: § 1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