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WaStrG-KostV</w:t>
      </w:r>
    </w:p>
    <w:p>
      <w:r>
        <w:rPr>
          <w:color w:val="555555"/>
          <w:sz w:val="18"/>
        </w:rPr>
        <w:t xml:space="preserve">Kostenverordnung zum Bundeswasserstraßengesetz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47 Abs. 2 des Bundeswasserstraßengesetzes in der Fassung der Bekanntmachung vom 23. August 1990 (BGBl. I S. 1818) in Verbindung mit dem 2. Abschnitt des Verwaltungskostengesetzes vom 23. Juni 1970 (BGBl. I S. 821) verordnet das Bundesministerium für Verkehr im Einvernehmen mit dem Bundesministerium der Finanzen:</w:t>
      </w:r>
    </w:p>
    <w:p>
      <w:r>
        <w:rPr>
          <w:color w:val="555555"/>
          <w:sz w:val="17"/>
        </w:rPr>
        <w:t xml:space="preserve">Zitiervorschlag: Eingangsformel WaStrG-KostV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https://recht.nulegal.eu/gesetze/WaStrG-KostV/eingangsformel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