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WaStrG-KostV</w:t>
      </w:r>
    </w:p>
    <w:p>
      <w:r>
        <w:rPr>
          <w:color w:val="555555"/>
          <w:sz w:val="18"/>
        </w:rPr>
        <w:t xml:space="preserve">Kostenverordnung zum Bundeswasserstraßengesetz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WaStrG-KostV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https://recht.nulegal.eu/gesetze/WaStrG-KostV/4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