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WaStrG-KostV</w:t>
      </w:r>
    </w:p>
    <w:p>
      <w:r>
        <w:rPr>
          <w:color w:val="555555"/>
          <w:sz w:val="18"/>
        </w:rPr>
        <w:t xml:space="preserve">Kostenverordnung zum Bundeswasserstraßengesetz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Bei individuell zurechenbaren öffentlichen Leistungen nach den Nummern 6, 7, 15 und 15a des Gebührenverzeichnisses ist Gebührenschuldner (§ 6 des Bundesgebührengesetzes) der Träger des Vorhabens.</w:t>
      </w:r>
    </w:p>
    <w:p>
      <w:r>
        <w:rPr>
          <w:color w:val="555555"/>
          <w:sz w:val="17"/>
        </w:rPr>
        <w:t xml:space="preserve">Zitiervorschlag: § 3 WaStrG-KostV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https://recht.nulegal.eu/gesetze/WaStrG-KostV/3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