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WaStrBAV — (zu § 2 Absatz 3, § 3 Absatz 4 und § 5 Absatz 3) Schilder zur Kennzeichnung der Verbote</w:t>
      </w:r>
    </w:p>
    <w:p>
      <w:r>
        <w:rPr>
          <w:color w:val="555555"/>
          <w:sz w:val="18"/>
        </w:rPr>
        <w:t xml:space="preserve">Wasserstraßen-Betriebsanlagenverordnung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VkBl. 2016, 437 – 438)</w:t>
      </w:r>
    </w:p>
    <w:p>
      <w:r>
        <w:t xml:space="preserve">[Abbildung]</w:t>
      </w:r>
    </w:p>
    <w:p>
      <w:r>
        <w:t xml:space="preserve">[Abbildung]</w:t>
      </w:r>
    </w:p>
    <w:p>
      <w:r>
        <w:t xml:space="preserve">[Abbildung]</w:t>
      </w:r>
    </w:p>
    <w:p>
      <w:r>
        <w:t xml:space="preserve">[Abbildung]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WaStrBAV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https://recht.nulegal.eu/gesetze/WaStrBAV/anlage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