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WaStrBAV — Zerstörungs- und Beschädigungsverbot</w:t>
      </w:r>
    </w:p>
    <w:p>
      <w:r>
        <w:rPr>
          <w:color w:val="555555"/>
          <w:sz w:val="18"/>
        </w:rPr>
        <w:t xml:space="preserve">Wasserstraßen-Betriebsanlagenverordnung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</w:t>
      </w:r>
    </w:p>
    <w:p>
      <w:pPr>
        <w:ind w:left="420"/>
      </w:pPr>
      <w:r>
        <w:t xml:space="preserve">1. bundeseigene Schifffahrts- und Betriebsanlagen einschließlich der Kabel, Leitungen, Schifffahrtszeichen, Liegestellen, Lagepunkte, Höhenfestpunkte, Vermessungspunkte, Kabelmarkierungszeichen oder sonstigen Zeichen und Einrichtungen, die zur Abgrenzung, Absperrung, Vermessung oder als Hinweis- oder Verbotsschilder dienen,</w:t>
      </w:r>
    </w:p>
    <w:p>
      <w:pPr>
        <w:ind w:left="420"/>
      </w:pPr>
      <w:r>
        <w:t xml:space="preserve">2. Ufergrundstücke, insbesondere Uferbefestigungen, Uferbewuchs oder Anpflanzungen, sowie Betriebswege</w:t>
      </w:r>
    </w:p>
    <w:p>
      <w:r>
        <w:t xml:space="preserve">unbefugt zu zerstören, zu beschädigen, unbrauchbar zu machen, zu verändern oder zu entfernen.</w:t>
      </w:r>
    </w:p>
    <w:p>
      <w:r>
        <w:t xml:space="preserve">(2) Im Bereich der Schleusenkammern, auf Schleusenplattformen, Schleusenbrücken und Schleusenstegen sowie an Gefahrgutliegestellen sind das Rauchen und der Umgang mit offenem Feuer oder glühenden Stoffen verboten.</w:t>
      </w:r>
    </w:p>
    <w:p>
      <w:r>
        <w:t xml:space="preserve">(3) Das Verbot nach Absatz 2 kann durch das Schild nach dem Muster 4 der Anlage kenntlich gemacht werden.</w:t>
      </w:r>
    </w:p>
    <w:p>
      <w:r>
        <w:rPr>
          <w:color w:val="555555"/>
          <w:sz w:val="17"/>
        </w:rPr>
        <w:t xml:space="preserve">Zitiervorschlag: § 5 WaStrBAV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https://recht.nulegal.eu/gesetze/WaStrBAV/5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