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WaStrBAV — Befreiungen</w:t>
      </w:r>
    </w:p>
    <w:p>
      <w:r>
        <w:rPr>
          <w:color w:val="555555"/>
          <w:sz w:val="18"/>
        </w:rPr>
        <w:t xml:space="preserve">Wasserstraßen-Betriebsanlagenverordnung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Benutzungsverboten nach § 2 Absatz 1 oder den besonderen Betretens- und Befahrensverboten nach § 2 Absatz 2 sind die Bediensteten oder Beauftragten der Wasserstraßen- und Schifffahrtsverwaltung des Bundes, anderer Behörden, der Einrichtungen des Rettungs- und des Feuerwehrdienstes sowie sonstiger Hilfsorganisationen befreit, soweit das Benutzen zur Erfüllung der dienstlichen Aufgaben erforderlich ist. § 2 Absatz 4 gilt entsprechend.</w:t>
      </w:r>
    </w:p>
    <w:p>
      <w:r>
        <w:rPr>
          <w:color w:val="555555"/>
          <w:sz w:val="17"/>
        </w:rPr>
        <w:t xml:space="preserve">Zitiervorschlag: § 4 WaStrBAV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https://recht.nulegal.eu/gesetze/WaStrBAV/4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