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WaStrAbG</w:t>
      </w:r>
    </w:p>
    <w:p>
      <w:r>
        <w:rPr>
          <w:color w:val="555555"/>
          <w:sz w:val="18"/>
        </w:rPr>
        <w:t xml:space="preserve">Bundeswasserstraßenausbaugesetz</w:t>
      </w:r>
    </w:p>
    <w:p>
      <w:r>
        <w:rPr>
          <w:color w:val="555555"/>
          <w:sz w:val="18"/>
        </w:rPr>
        <w:t xml:space="preserve">Stand: 31.07.2026 (konsolidierte Textfassung, kein amtliches Inkrafttretensdatum)</w:t>
      </w:r>
    </w:p>
    <w:p>
      <w:r>
        <w:t xml:space="preserve">Nach Ablauf von jeweils fünf Jahren prüft das Bundesministerium für Verkehr, ob der Bedarfsplan der zwischenzeitlich eingetretenen Wirtschafts- und Verkehrsentwicklung anzupassen ist. Die Anpassung erfolgt durch Gesetz.</w:t>
      </w:r>
    </w:p>
    <w:p>
      <w:r>
        <w:rPr>
          <w:color w:val="555555"/>
          <w:sz w:val="17"/>
        </w:rPr>
        <w:t xml:space="preserve">Zitiervorschlag: § 4 WaStrAbG</w:t>
      </w:r>
    </w:p>
    <w:p>
      <w:r>
        <w:rPr>
          <w:color w:val="555555"/>
          <w:sz w:val="17"/>
        </w:rPr>
        <w:t xml:space="preserve">Quelle: Bundesamt für Justiz, abgerufen 31.07.2026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https://recht.nulegal.eu/gesetze/WaStrAbG/4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