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WaStrAbG</w:t>
      </w:r>
    </w:p>
    <w:p>
      <w:r>
        <w:rPr>
          <w:color w:val="555555"/>
          <w:sz w:val="18"/>
        </w:rPr>
        <w:t xml:space="preserve">Bundeswasserstraßenausbaugesetz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Ausbau erfolgt nach Stufen, die im Bedarfsplan vorgesehen sind, und nach Maßgabe der zur Verfügung stehenden Haushaltsmittel.</w:t>
      </w:r>
    </w:p>
    <w:p>
      <w:r>
        <w:t xml:space="preserve">(2) Eine Baumaßnahme, die nicht in den Bedarfsplan aufgenommen ist, kann durchgeführt werden, wenn für sie im Einzelfall der Bedarf besonders nachgewiesen wird.</w:t>
      </w:r>
    </w:p>
    <w:p>
      <w:r>
        <w:rPr>
          <w:color w:val="555555"/>
          <w:sz w:val="17"/>
        </w:rPr>
        <w:t xml:space="preserve">Zitiervorschlag: § 2 WaStrAbG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https://recht.nulegal.eu/gesetze/WaStrAbG/2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