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WaStrAbG</w:t>
      </w:r>
    </w:p>
    <w:p>
      <w:r>
        <w:rPr>
          <w:color w:val="555555"/>
          <w:sz w:val="18"/>
        </w:rPr>
        <w:t xml:space="preserve">Bundeswasserstraßenausbaugesetz</w:t>
      </w:r>
    </w:p>
    <w:p>
      <w:r>
        <w:rPr>
          <w:color w:val="555555"/>
          <w:sz w:val="18"/>
        </w:rPr>
        <w:t xml:space="preserve">Stand: 31.07.2026 (konsolidierte Textfassung, kein amtliches Inkrafttretensdatum)</w:t>
      </w:r>
    </w:p>
    <w:p>
      <w:r>
        <w:t xml:space="preserve">(1) Das Netz der Bundeswasserstraßen wird nach dem Bedarfsplan für die Bundeswasserstraßen ausgebaut, der diesem Gesetz als Anlage beigefügt ist.</w:t>
      </w:r>
    </w:p>
    <w:p>
      <w:r>
        <w:t xml:space="preserve">(2) Die Feststellung des Bedarfs ist für die Linienbestimmung nach § 13 Absatz 1 des Bundeswasserstraßengesetzes und für die Planfeststellung, einschließlich der vorläufigen Anordnung, nach § 14 des Bundeswasserstraßengesetzes verbindlich.</w:t>
      </w:r>
    </w:p>
    <w:p>
      <w:r>
        <w:t xml:space="preserve">(3) Die Umsetzung von Vorhaben, die im Bedarfsplan laufend und fest disponiert sind oder für die der Bedarfsplan einen Vordringlichen Bedarf feststellt, liegt im überragenden öffentlichen Interesse und dient der öffentlichen Sicherheit.</w:t>
      </w:r>
    </w:p>
    <w:p>
      <w:r>
        <w:rPr>
          <w:color w:val="555555"/>
          <w:sz w:val="17"/>
        </w:rPr>
        <w:t xml:space="preserve">Zitiervorschlag: § 1 WaStrAbG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https://recht.nulegal.eu/gesetze/WaStrAbG/1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