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WaStrÜbgVtr</w:t>
      </w:r>
    </w:p>
    <w:p>
      <w:r>
        <w:rPr>
          <w:color w:val="555555"/>
          <w:sz w:val="18"/>
        </w:rPr>
        <w:t xml:space="preserve">Staatsvertrag betreffend den Übergang der Wasserstraßen von den Ländern auf das Reich (Anhang zum Gesetz über die vermögensrechtlichen Verhältnisse der Bundeswasserstraßen)</w:t>
      </w:r>
    </w:p>
    <w:p>
      <w:r>
        <w:rPr>
          <w:color w:val="555555"/>
          <w:sz w:val="18"/>
        </w:rPr>
        <w:t xml:space="preserve">Stand: 10.06.2019 (konsolidierte Textfassung, kein amtliches Inkrafttretensdatum)</w:t>
      </w:r>
    </w:p>
    <w:p>
      <w:r>
        <w:t xml:space="preserve">Vom 1. April 1921 an fließen alle Einnahmen dem Reich zu und werden alle Ausgaben vom Reich bestritten. Soweit jedoch in sinngemäßer Anwendung der bisherigen Haushaltsgrundsätze des Landes Einnahmen und Ausgaben noch für die Zeit vor dem 1. April 1921 zu verrechnen sind, hat es hierbei sein Bewenden.</w:t>
      </w:r>
    </w:p>
    <w:p>
      <w:r>
        <w:rPr>
          <w:color w:val="555555"/>
          <w:sz w:val="17"/>
        </w:rPr>
        <w:t xml:space="preserve">Zitiervorschlag: § 9 WaStrÜbgVtr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https://recht.nulegal.eu/gesetze/WaStr%C3%9CbgVtr/9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