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1. Grundstücke der Länder, die bisher ausschließlich für die Verwaltung der auf das Reich übergehenden Wasserstraßen oder anderer auf Grund dieses Vertrags auf das Reich übergehenden Verkehrseinrichtungen benutzt worden sind, gehen in das Eigentum des Reichs über, soweit sie für Wasserstraßenzwecke erforderlich sind, gleichviel, ob und unter welcher Bezeichnung die Länder als Eigentümer im Grundbuch eingetragen sind. Das gleiche gilt von allen der Wasserstraßenverwaltung eines Landes zustehenden Rechten an Grundstücken, auch wenn sie durch Rechtsgeschäft nicht übertragbar sind.</w:t>
      </w:r>
    </w:p>
    <w:p>
      <w:r>
        <w:t xml:space="preserve">2. Das Eigentum und die Rechte an den Grundstücken gehen kraft Gesetzes auf das Reich über. Die Berichtigung der Grundbücher erfolgt auf Grund eines gemeinschaftlichen Ersuchens der zuständigen Stellen des Reichs und der Länder. Die zuständigen Stellen werden durch das Reichsverkehrsministerium und durch die von den Ländern bezeichneten, mit der Abwicklung der bisherigen Wasserstraßenverwaltungen beauftragten Stellen bestimmt.</w:t>
      </w:r>
    </w:p>
    <w:p>
      <w:r>
        <w:t xml:space="preserve">3. Steuern, Gebühren, Kosten und Auslagen dürfen aus Anlaß des Eigentumswechsels weder vom Reich noch von den Ländern noch von anderen Steuerberechtigten in den Ländern erhoben werden.</w:t>
      </w:r>
    </w:p>
    <w:p>
      <w:r>
        <w:t xml:space="preserve">4. Grundstücke der Länder, die bisher nicht ausschließlich für die Verwaltung der auf das Reich übergehenden Wasserstraßen oder anderer auf Grund dieses Vertrags auf das Reich übergehenden Verkehrseinrichtungen benutzt worden sind, ist das Reich berechtigt, in der bisherigen Art und in dem bisherigen Umfang bis zum 31. März 1931 gegen eine angemessene jährliche Entschädigung weiterzubenutzen. Vom 1. April 1930 an sind die Länder berechtigt, dem Reich die Benutzung mit einer einjährigen Frist zu kündigen. Die Kündigung ist nur für den Schluß eines Kalendervierteljahrs zulässig. In gleicher Weise kann das Reich auch schon vor dem 1. April 1930 die Benutzung ganz oder teilweise aufkündigen.</w:t>
      </w:r>
    </w:p>
    <w:p>
      <w:r>
        <w:rPr>
          <w:color w:val="555555"/>
          <w:sz w:val="17"/>
        </w:rPr>
        <w:t xml:space="preserve">Zitiervorschlag: § 4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