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WaStrÜbgVtr</w:t>
      </w:r>
    </w:p>
    <w:p>
      <w:r>
        <w:rPr>
          <w:color w:val="555555"/>
          <w:sz w:val="18"/>
        </w:rPr>
        <w:t xml:space="preserve">Staatsvertrag betreffend den Übergang der Wasserstraßen von den Ländern auf das Reich (Anhang zum Gesetz über die vermögensrechtlichen Verhältnisse der Bundeswasserstraßen)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1. Das Reich wird die auf das Reichsverkehrsministerium übergehenden Akten der Landeszentralbehörden diesen zwecks Führung der einstweiligen Verwaltung für das Reich (vgl. § 11) sowie zur Herbeiführung des Abschlusses des endgültigen Vertrags und zwecks Vertretung der Landesinteressen vor dem Staatsgerichtshof oder dem Schiedsgericht zur Verfügung stellen.</w:t>
      </w:r>
    </w:p>
    <w:p>
      <w:r>
        <w:t xml:space="preserve">2. Welche Akten der Landeszentralbehörden auf das Reich übergehen, ist zwischen dem Reichsverkehrsministerium und den Landeszentralbehörden zu vereinbaren.</w:t>
      </w:r>
    </w:p>
    <w:p>
      <w:r>
        <w:rPr>
          <w:color w:val="555555"/>
          <w:sz w:val="17"/>
        </w:rPr>
        <w:t xml:space="preserve">Zitiervorschlag: § 31 WaStrÜbgVtr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https://recht.nulegal.eu/gesetze/WaStr%C3%9CbgVtr/31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