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WaStrÜbgVtr</w:t>
      </w:r>
    </w:p>
    <w:p>
      <w:r>
        <w:rPr>
          <w:color w:val="555555"/>
          <w:sz w:val="18"/>
        </w:rPr>
        <w:t xml:space="preserve">Staatsvertrag betreffend den Übergang der Wasserstraßen von den Ländern auf das Reich (Anhang zum Gesetz über die vermögensrechtlichen Verhältnisse der Bundeswasserstraßen)</w:t>
      </w:r>
    </w:p>
    <w:p>
      <w:r>
        <w:rPr>
          <w:color w:val="555555"/>
          <w:sz w:val="18"/>
        </w:rPr>
        <w:t xml:space="preserve">Stand: 10.06.2019 (konsolidierte Textfassung, kein amtliches Inkrafttretensdatum)</w:t>
      </w:r>
    </w:p>
    <w:p>
      <w:r>
        <w:t xml:space="preserve">Die Verwaltungszuständigkeiten der Landeszentralbehörden hinsichtlich des Baues, der Unterhaltung, des Betriebs und der Verwaltung der auf Grund dieses Vertrags übergehenden Wasserstraßen einschließlich der Strom- und Schiffahrtspolizei und hinsichtlich der sonstigen auf den Verkehr bezüglichen Befugnisse sowie hinsichtlich der Seezeichen und des Lotsenwesens gehen mit dem 1. April 1921 auf das Reich über. Im übrigen erfolgt die einstweilige Verwaltung der Reichswasserstraßen durch die mittleren und unteren Behörden der Länder auf Kosten des Reichs und unter Leitung des Reichsverkehrsministeriums. Die Ausübung der Tarifhoheit im Sinne des Artikels 97 Abs. 5 der Reichsverfassung steht vom 1. April 1921 an dem Reich zu.</w:t>
      </w:r>
    </w:p>
    <w:p>
      <w:r>
        <w:rPr>
          <w:color w:val="555555"/>
          <w:sz w:val="17"/>
        </w:rPr>
        <w:t xml:space="preserve">Zitiervorschlag: § 11 WaStrÜbgVtr</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https://recht.nulegal.eu/gesetze/WaStr%C3%9CbgVtr/11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