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WaStrÜbgVtr</w:t>
      </w:r>
    </w:p>
    <w:p>
      <w:r>
        <w:rPr>
          <w:color w:val="555555"/>
          <w:sz w:val="18"/>
        </w:rPr>
        <w:t xml:space="preserve">Staatsvertrag betreffend den Übergang der Wasserstraßen von den Ländern auf das Reich (Anhang zum Gesetz über die vermögensrechtlichen Verhältnisse der Bundeswasserstraßen)</w:t>
      </w:r>
    </w:p>
    <w:p>
      <w:r>
        <w:rPr>
          <w:color w:val="555555"/>
          <w:sz w:val="18"/>
        </w:rPr>
        <w:t xml:space="preserve">Stand: 10.06.2019 (konsolidierte Textfassung, kein amtliches Inkrafttretensdatum)</w:t>
      </w:r>
    </w:p>
    <w:p>
      <w:r>
        <w:t xml:space="preserve">1. Am 1. April 1921 gehen auf das Reich über</w:t>
      </w:r>
    </w:p>
    <w:p>
      <w:pPr>
        <w:ind w:left="420"/>
      </w:pPr>
      <w:r>
        <w:t xml:space="preserve">a) die in dem anliegenden, einen Bestandteil des Vertrags bildenden Verzeichnis - Anlage A - aufgeführten Binnenwasserstraßen sowie die Seewasserstraßen der Länder;</w:t>
      </w:r>
    </w:p>
    <w:p>
      <w:pPr>
        <w:ind w:left="420"/>
      </w:pPr>
      <w:r>
        <w:t xml:space="preserve">b) die zur Erhaltung des Fahrwassers dienenden Anlagen der Länder an den Seeküsten und auf den Meeresinseln;</w:t>
      </w:r>
    </w:p>
    <w:p>
      <w:pPr>
        <w:ind w:left="420"/>
      </w:pPr>
      <w:r>
        <w:t xml:space="preserve">c) die Seezeichen der Länder und das Lotsenwesen, mit Ausnahme des Hafenlotsenwesens.</w:t>
      </w:r>
    </w:p>
    <w:p>
      <w:r>
        <w:t xml:space="preserve">Der Übergang erfolgt mit allen Bestandteilen und allem für die Verwaltung erforderlichen Zubehör, insbesondere an Grundstücken, Dienstgebäuden, Bauhöfen, Werften, Schiffen, Baggern und sonstigen Baugeräten, ferner mit den an den künstlichen Wasserstraßen vorhandenen staatlichen Brücken und Fähren, die durch die Herstellung der Wasserstraße notwendig geworden sind. Schutz- und Sicherheitshäfen sind in den Übergang auf das Reich einbegriffen. Brücken und Fähren an den natürlichen Wasserstraßen sowie Jagdberechtigungen und das Fährregal sind von dem Übergang auf das Reich ausgeschlossen.</w:t>
      </w:r>
    </w:p>
    <w:p>
      <w:r>
        <w:t xml:space="preserve">2. Das Reich übernimmt gemäß Artikel 97 der Reichsverfassung die in Absatz 1 bezeichneten Gegenstände mit allen Rechten und Pflichten in sein Eigentum und seine Verwaltung. Soweit auf das Reich übergehende Gegenstände im Eigentum Dritter stehen, sind diese für die Entziehung des Eigentums nach den landesrechtlichen Enteignungsvorschriften vom Reich zu entschädigen.</w:t>
      </w:r>
    </w:p>
    <w:p>
      <w:r>
        <w:t xml:space="preserve">3. Über die nach den Vereinbarungen unter Absatz 1 und 2 auf das Reich als Bestandteile und Zubehör der Wasserstraßen übergehenden Gegenstände wird jedes Land Verzeichnisse aufstellen, welche der Anerkennung des Reichs bedürfen.</w:t>
      </w:r>
    </w:p>
    <w:p>
      <w:r>
        <w:rPr>
          <w:color w:val="555555"/>
          <w:sz w:val="17"/>
        </w:rPr>
        <w:t xml:space="preserve">Zitiervorschlag: § 1 WaStrÜbgVtr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https://recht.nulegal.eu/gesetze/WaStr%C3%9CbgVtr/1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