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WZG§4CCCPBek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1968, 212) Auf Grund des § 4 Abs. 2 Nr. 3 des Warenzeichengesetzes in der Fassung vom 2. Januar 1968 (Bundesgesetzbl. I S. 1, 29) wird in der Anlage ein amtliches Prüf- und Gewährzeichen bekanntgemacht, das in der Union der Sozialistischen Sowjetrepubliken eingeführt ist. Diese Bekanntmachung ergeht im Anschluß an die Bekanntmachung vom 1. März 1968 (Bundesgesetzbl. I S. 212). Bonn, den 8. März 1968</w:t>
      </w:r>
    </w:p>
    <w:p>
      <w:r>
        <w:rPr>
          <w:rFonts w:ascii="Courier New" w:hAnsi="Courier New"/>
          <w:sz w:val="17"/>
        </w:rPr>
        <w:t xml:space="preserve">Der Bundesminister der Justiz</w:t>
      </w:r>
    </w:p>
    <w:p>
      <w:r>
        <w:rPr>
          <w:rFonts w:ascii="Courier New" w:hAnsi="Courier New"/>
          <w:sz w:val="17"/>
        </w:rPr>
        <w:t xml:space="preserve">Dr. Heinemann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WZG§4CCCPBek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https://recht.nulegal.eu/gesetze/WZG%C2%A74CCCPBek/anlage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WZG§4CCCPBek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