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WWSUVtrAnl VIII</w:t>
      </w:r>
    </w:p>
    <w:p>
      <w:r>
        <w:rPr>
          <w:color w:val="555555"/>
          <w:sz w:val="18"/>
        </w:rPr>
        <w:t xml:space="preserve">Allgemeine Verfahrensvorschriften für das Schiedsgericht (Anlage VIII zu dem Vertrag über die Schaffung einer Währungs-, Wirtschafts- und Sozialunion zwischen der Bundesrepublik Deutschland und der Deutschen Demokratischen Republik)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Schiedsspruch ist endgültig und bindend. Die Vertragsparteien haben ihn unverzüglich zu befolgen.</w:t>
      </w:r>
    </w:p>
    <w:p>
      <w:r>
        <w:t xml:space="preserve">(2) Entstehen Meinungsverschiedenheiten über Sinn oder Tragweite des Schiedsspruchs, so hat das Schiedsgericht den Schiedsspruch auf Antrag einer Vertragspartei auszulegen.</w:t>
      </w:r>
    </w:p>
    <w:p>
      <w:r>
        <w:rPr>
          <w:color w:val="555555"/>
          <w:sz w:val="17"/>
        </w:rPr>
        <w:t xml:space="preserve">Zitiervorschlag: § 9 WWSUVtrAnl VIII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https://recht.nulegal.eu/gesetze/WWSUVtrAnl%20VIII/9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