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 3 WWSUVtrAnl I</w:t>
      </w:r>
    </w:p>
    <w:p>
      <w:r>
        <w:rPr>
          <w:color w:val="555555"/>
          <w:sz w:val="18"/>
        </w:rPr>
        <w:t xml:space="preserve">Bestimmungen über die Währungsunion und über die Währungsumstellung (Anlage I zu dem 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in Mark der Deutschen Demokratischen Republik geführten Bücher der Geldinstitute sind auf den 30. Juni 1990 durch eine Markschlußbilanz nebst Gewinn- und Verlustrechnung abzuschließen.</w:t>
      </w:r>
    </w:p>
    <w:p>
      <w:r>
        <w:t xml:space="preserve">(2) Vom 1. Juli 1990 an dürfen in der Markrechnung der Geldinstitute nur noch diejenigen Buchungen vorgenommen werden, die durch diesen Vertrag oder durch Regelungen, die aufgrund einer durch diesen Vertrag eingeräumten Ermächtigung erlassen werden, zugelassen sind. Zugelassen sind auch die Buchungen, die der förmlichen Erstellung der Schlußbilanz dienen.</w:t>
      </w:r>
    </w:p>
    <w:p>
      <w:r>
        <w:t xml:space="preserve">(3) Vom 1. Juli 1990 an haben die Geldinstitute ihre Bücher in Deutscher Mark zu führen und alle neuen Geschäftsvorfälle in Deutscher Mark zu verbuchen.</w:t>
      </w:r>
    </w:p>
    <w:p>
      <w:r>
        <w:t xml:space="preserve">(4) Zur Durchführung der Währungsumstellung errichtet die Deutsche Demokratische Republik einen Ausgleichsfonds. Zur Errechnung der den Geldinstituten und den Außenhandelsbetrieben nach § 4 zustehenden Forderungen gegen den Ausgleichsfonds und ihrer Verbindlichkeiten gegenüber dem Ausgleichsfonds haben diese eine besondere Umstellungsrechnung zu erstellen, aus der alle aus der Einführung der Währung der Deutschen Mark in der Deutschen Demokratischen Republik und der Währungsumstellung in der Deutschen Demokratischen Republik unmittelbar hervorgehenden, auf Deutsche Mark lautenden Aktiva und Passiva ersichtlich sind. Sämtliche Buchungen der Umstellungsrechnung sind unabhängig davon, wann die Umstellung des einzelnen Bilanzpostens tatsächlich vorgenommen wird, auf den 1. Juli 1990 zu valutieren. Die Umstellungsrechnung gilt als Eröffnungsbilanz auf den 1. Juli 1990.</w:t>
      </w:r>
    </w:p>
    <w:p>
      <w:r>
        <w:t xml:space="preserve">(5) Für die Berücksichtigung der Kassenbestände der Geldinstitute an auf Mark der Deutschen Demokratischen Republik lautenden Banknoten und Münzen in der Umstellungsrechnung gelten die von der Deutschen Bundesbank zu erlassenden Regelungen und Anordnungen.</w:t>
      </w:r>
    </w:p>
    <w:p>
      <w:r>
        <w:rPr>
          <w:color w:val="555555"/>
          <w:sz w:val="17"/>
        </w:rPr>
        <w:t xml:space="preserve">Zitiervorschlag: Art 8 § 3 WWSUVtrAnl 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https://recht.nulegal.eu/gesetze/WWSUVtrAnl%20I/8-3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