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WWSUVtrAnl I — Umbenennung</w:t>
      </w:r>
    </w:p>
    <w:p>
      <w:r>
        <w:rPr>
          <w:color w:val="555555"/>
          <w:sz w:val="18"/>
        </w:rPr>
        <w:t xml:space="preserve">Bestimmungen über die Währungsunion und über die Währungsumstellung (Anlage I zu dem Vertrag über die Schaffung einer Währungs-, Wirtschafts- und Sozialunion zwischen der Bundesrepublik Deutschland und der Deutschen Demokratischen Republik)</w:t>
      </w:r>
    </w:p>
    <w:p>
      <w:r>
        <w:rPr>
          <w:color w:val="555555"/>
          <w:sz w:val="18"/>
        </w:rPr>
        <w:t xml:space="preserve">Stand: 10.06.2019 (konsolidierte Textfassung, kein amtliches Inkrafttretensdatum)</w:t>
      </w:r>
    </w:p>
    <w:p>
      <w:r>
        <w:t xml:space="preserve">Wo in Gesetzen, Verordnungen, Anordnungen, gerichtlichen Entscheidungen, Verwaltungsakten, Verträgen und sonstigen rechtsgeschäftlichen Erklärungen die Rechnungseinheit Mark der Deutschen Demokratischen Republik verwendet wird, tritt vorbehaltlich besonderer Vorschriften an die Stelle dieser Rechnungseinheit die Rechnungseinheit Deutsche Mark. Die Regelung der Umstellung von auf Mark der Deutschen Demokratischen Republik lautenden Verbindlichkeiten und Forderungen auf Deutsche Mark wird davon nicht berührt.</w:t>
      </w:r>
    </w:p>
    <w:p>
      <w:r>
        <w:rPr>
          <w:color w:val="555555"/>
          <w:sz w:val="17"/>
        </w:rPr>
        <w:t xml:space="preserve">Zitiervorschlag: Art 2 WWSUVtrAnl I</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https://recht.nulegal.eu/gesetze/WWSUVtrAnl%20I/2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