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13 WWSUVtrAnl I — Zusammenarbeit</w:t>
      </w:r>
    </w:p>
    <w:p>
      <w:r>
        <w:rPr>
          <w:color w:val="555555"/>
          <w:sz w:val="18"/>
        </w:rPr>
        <w:t xml:space="preserve">Bestimmungen über die Währungsunion und über die Währungsumstellung (Anlage I zu dem 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Die Deutsche Bundesbank arbeitet mit der Regierung der Deutschen Demokratischen Republik in Angelegenheiten von währungspolitischer Bedeutung eng zusammen. Der jeweils zuständige Minister der Regierung der Deutschen Demokratischen Republik wird zu Sitzungen des Zentralbankrats in Fragen der Geld- und Währungspolitik eingeladen. Die Regierung der Deutschen Demokratischen Republik wird der Deutschen Bundesbank diejenige Unterstützung und Hilfe gewähren, die diese zur Wahrnehmung ihrer Aufgaben benötigt.</w:t>
      </w:r>
    </w:p>
    <w:p>
      <w:r>
        <w:rPr>
          <w:color w:val="555555"/>
          <w:sz w:val="17"/>
        </w:rPr>
        <w:t xml:space="preserve">Zitiervorschlag: Art 13 WWSUVtrAnl 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https://recht.nulegal.eu/gesetze/WWSUVtrAnl%20I/13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13 WWSUVtrAnl 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