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WWSUVtr — Rechtsanpassung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Für die mit der Errichtung der Währungs-, Wirtschafts- und Sozialunion erforderliche Rechtsanpassung in der Deutschen Demokratischen Republik gelten die in Artikel 2 Absatz 1 niedergelegten Grundsätze und die im Gemeinsamen Protokoll vereinbarten Leitsätze; fortbestehendes Recht ist gemäß diesen Grund- und Leitsätzen auszulegen und anzuwenden. Die Deutsche Demokratische Republik hebt bis zur Errichtung der Währungsunion die in der Anlage III bezeichneten Vorschriften auf oder ändert sie und erläßt die in der Anlage IV bezeichneten neuen Rechtsvorschriften, soweit nicht im Vertrag oder in den Anlagen ein anderer Zeitpunkt festgelegt ist.</w:t>
      </w:r>
    </w:p>
    <w:p>
      <w:r>
        <w:t xml:space="preserve">(2) Die in der Bundesrepublik Deutschland beabsichtigten Änderungen von Rechtsvorschriften sind in der Anlage V aufgeführt. Die in der Deutschen Demokratischen Republik beabsichtigten Regelungen sind in der Anlage VI aufgeführt.</w:t>
      </w:r>
    </w:p>
    <w:p>
      <w:r>
        <w:t xml:space="preserve">(3) Bei der Übermittlung personenbezogener Informationen gelten die in der Anlage VII enthaltenen Grundsätze.</w:t>
      </w:r>
    </w:p>
    <w:p>
      <w:r>
        <w:rPr>
          <w:color w:val="555555"/>
          <w:sz w:val="17"/>
        </w:rPr>
        <w:t xml:space="preserve">Zitiervorschlag: Art 4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