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WWSUVtr — Aufbau der Finanzverwaltung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Demokratische Republik schafft die Rechtsgrundlagen für eine dreistufige Finanzverwaltung entsprechend dem Gesetz über die Finanzverwaltung der Bundesrepublik Deutschland mit den sich aus diesem Vertrag ergebenden Abweichungen und richtet die Verwaltungen entsprechend ein.</w:t>
      </w:r>
    </w:p>
    <w:p>
      <w:r>
        <w:t xml:space="preserve">(2) Bis zur Errichtung der Währungs-, Wirtschafts- und Sozialunion werden vorrangig funktionsfähige Steuer- und Zollverwaltungen aufgebaut.</w:t>
      </w:r>
    </w:p>
    <w:p>
      <w:r>
        <w:rPr>
          <w:color w:val="555555"/>
          <w:sz w:val="17"/>
        </w:rPr>
        <w:t xml:space="preserve">Zitiervorschlag: Art 34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