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30 WWSUVtr — Zölle und besondere Verbrauchsteuern</w:t>
      </w:r>
    </w:p>
    <w:p>
      <w:r>
        <w:rPr>
          <w:color w:val="555555"/>
          <w:sz w:val="18"/>
        </w:rPr>
        <w:t xml:space="preserve">Vertrag über die Schaffung einer Währungs-, Wirtschafts- und Sozialunion zwischen der Bundesrepublik Deutschland und der Deutschen Demokratischen Republik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Deutsche Demokratische Republik übernimmt schrittweise im Einklang mit dem Grundsatz in Artikel 11 Absatz 3 das Zollrecht der Europäischen Gemeinschaften einschließlich des Gemeinsamen Zolltarifs sowie die besonderen Verbrauchsteuern nach Maßgabe der Anlage IV.</w:t>
      </w:r>
    </w:p>
    <w:p>
      <w:r>
        <w:t xml:space="preserve">(2) Die Vertragsparteien sind sich einig, daß ihr Zollgebiet den Geltungsbereich dieses Vertrags umfaßt.</w:t>
      </w:r>
    </w:p>
    <w:p>
      <w:r>
        <w:t xml:space="preserve">(3) Der Grenzausgleich zwischen den Erhebungsgebieten für Verbrauchsteuern beider Vertragsparteien, ausgenommen für Tabak, entfällt. Die Steuerhoheit bleibt unberührt. Der Ausgleich der Aufkommensverlagerungen wird durch besondere Vereinbarungen geregelt.</w:t>
      </w:r>
    </w:p>
    <w:p>
      <w:r>
        <w:t xml:space="preserve">(4) Zwischen den Erhebungsgebieten wird der Versand unversteuerter verbrauchsteuerpflichtiger Waren nach Maßgabe der Bestimmungen zugelassen, die den Verkehr mit unversteuerten Waren innerhalb eines Erhebungsgebiets regeln.</w:t>
      </w:r>
    </w:p>
    <w:p>
      <w:r>
        <w:t xml:space="preserve">(5) Die Steuerentlastung für auszuführende Waren wird erst beim Nachweis der Ausfuhr in andere Gebiete als die der beiden Erhebungsgebiete gewährt.</w:t>
      </w:r>
    </w:p>
    <w:p>
      <w:r>
        <w:rPr>
          <w:color w:val="555555"/>
          <w:sz w:val="17"/>
        </w:rPr>
        <w:t xml:space="preserve">Zitiervorschlag: Art 30 WWSUVtr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https://recht.nulegal.eu/gesetze/WWSUVtr/30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