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WWSUVtr — Kreditaufnahme und Schulden</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Kreditermächtigungen in den Haushalten der Gebietskörperschaften der Deutschen Demokratischen Republik werden für 1990 auf 10 Milliarden Deutsche Mark und für 1991 auf 14 Milliarden Deutsche Mark begrenzt und im Einvernehmen mit dem Bundesminister der Finanzen der Bundesrepublik Deutschland auf die Ebenen verteilt. Für das Treuhandvermögen wird zur Vorfinanzierung zu erwartender Erlöse aus seiner Verwertung ein Kreditermächtigungsrahmen für 1990 von 7 Milliarden Deutsche Mark und für 1991 von 10 Milliarden Deutsche Mark festgelegt. Der Bundesminister der Finanzen der Bundesrepublik Deutschland kann bei grundlegend veränderten Bedingungen eine Überschreitung der Kreditobergrenzen zulassen.</w:t>
      </w:r>
    </w:p>
    <w:p>
      <w:r>
        <w:t xml:space="preserve">(2) Die Aufnahme von Krediten und das Einräumen von Ausgleichsforderungen erfolgen im Einvernehmen zwischen dem Minister der Finanzen der Deutschen Demokratischen Republik und dem Bundesminister der Finanzen der Bundesrepublik Deutschland. Gleiches gilt für die Übernahme von Bürgschaften, Garantien oder sonstigen Gewährleistungen sowie für die Summe der in den Haushalten auszubringenden Verpflichtungsermächtigungen.</w:t>
      </w:r>
    </w:p>
    <w:p>
      <w:r>
        <w:t xml:space="preserve">(3) Nach dem Beitritt wird die aufgelaufene Verschuldung des Republikhaushalts in dem Umfang an das Treuhandvermögen übertragen, soweit sie durch die zu erwartenden künftigen Erlöse aus der Verwertung des Treuhandvermögens getilgt werden kann. Die danach verbleibende Verschuldung wird je zur Hälfte auf den Bund und die Länder, die sich auf dem Gebiet der Deutschen Demokratischen Republik neu gebildet haben, aufgeteilt. Von den Ländern und Gemeinden aufgenommene Kredite verbleiben bei diesen.</w:t>
      </w:r>
    </w:p>
    <w:p>
      <w:r>
        <w:rPr>
          <w:color w:val="555555"/>
          <w:sz w:val="17"/>
        </w:rPr>
        <w:t xml:space="preserve">Zitiervorschlag: Art 27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