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23 WWSUVtr — Renten der Unfallversicherung</w:t>
      </w:r>
    </w:p>
    <w:p>
      <w:r>
        <w:rPr>
          <w:color w:val="555555"/>
          <w:sz w:val="18"/>
        </w:rPr>
        <w:t xml:space="preserve">Vertrag über die Schaffung einer Währungs-, Wirtschafts- und Sozialunion zwischen der Bundesrepublik Deutschland und der Deutschen Demokratischen Republik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Deutsche Demokratische Republik leitet alle erforderlichen Maßnahmen ein, um ihr Unfallversicherungsrecht an das der Bundesrepublik Deutschland anzugleichen.</w:t>
      </w:r>
    </w:p>
    <w:p>
      <w:r>
        <w:t xml:space="preserve">(2) Die Bestandsrenten der Unfallversicherung werden bei der Umstellung auf Deutsche Mark auf der Grundlage des durchschnittlichen Bruttoarbeitsentgelts in der Deutschen Demokratischen Republik neu festgesetzt und gezahlt.</w:t>
      </w:r>
    </w:p>
    <w:p>
      <w:r>
        <w:t xml:space="preserve">(3) Nach der Umstellung auf Deutsche Mark neu festzusetzende Unfallrenten werden auf der Grundlage des durchschnittlichen monatlichen Bruttoarbeitsentgelts der letzten zwölf Monate vor dem Unfall festgesetzt.</w:t>
      </w:r>
    </w:p>
    <w:p>
      <w:r>
        <w:t xml:space="preserve">(4) Artikel 20 Absatz 4 und 7 gilt entsprechend.</w:t>
      </w:r>
    </w:p>
    <w:p>
      <w:r>
        <w:rPr>
          <w:color w:val="555555"/>
          <w:sz w:val="17"/>
        </w:rPr>
        <w:t xml:space="preserve">Zitiervorschlag: Art 23 WWSUVtr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https://recht.nulegal.eu/gesetze/WWSUVtr/23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