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WWSUVtr — Gesundheitswesen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medizinische Betreuung und der Schutz der Gesundheit der Menschen sind besonderes Anliegen der Vertragsparteien.</w:t>
      </w:r>
    </w:p>
    <w:p>
      <w:r>
        <w:t xml:space="preserve">(2) Neben der vorläufigen Fortführung der derzeitigen Versorgungsstrukturen, die zur Aufrechterhaltung der medizinischen Versorgung der Bevölkerung notwendig ist, wird die Deutsche Demokratische Republik schrittweise eine Veränderung in Richtung des Versorgungsangebots der Bundesrepublik Deutschland mit privaten Leistungserbringern vornehmen, insbesondere durch Zulassung niedergelassener Ärzte, Zahnärzte und Apotheker sowie selbständig tätiger Erbringer von Heil- und Hilfsmitteln und durch Zulassung privater und frei-gemeinnütziger Krankenhausträger.</w:t>
      </w:r>
    </w:p>
    <w:p>
      <w:r>
        <w:t xml:space="preserve">(3) Zum Aufbau der erforderlichen vertraglichen, insbesondere vergütungsrechtlichen Beziehungen zwischen Trägern der Krankenversicherung und den Leistungserbringern wird die Deutsche Demokratische Republik die erforderlichen gesetzlichen Rahmenbedingungen schaffen.</w:t>
      </w:r>
    </w:p>
    <w:p>
      <w:r>
        <w:rPr>
          <w:color w:val="555555"/>
          <w:sz w:val="17"/>
        </w:rPr>
        <w:t xml:space="preserve">Zitiervorschlag: Art 22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