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WWSUVtr — Grundsätze</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Vertragsparteien bekennen sich zur freiheitlichen, demokratischen, föderativen, rechtsstaatlichen und sozialen Grundordnung. Zur Gewährleistung der in diesem Vertrag oder in Ausführung dieses Vertrags begründeten Rechte garantieren sie insbesondere die Vertragsfreiheit, Gewerbe-, Niederlassungs- und Berufsfreiheit, die Freizügigkeit von Deutschen in dem gesamten Währungsgebiet, die Freiheit, zur Wahrung und Förderung der Arbeits- und Wirtschaftsbedingungen Vereinigungen zu bilden, sowie nach Maßgabe der Anlage IX das Eigentum privater Investoren an Grund und Boden sowie an Produktionsmitteln.</w:t>
      </w:r>
    </w:p>
    <w:p>
      <w:r>
        <w:t xml:space="preserve">(2) Entgegenstehende Vorschriften der Verfassung der Deutschen Demokratischen Republik über die Grundlagen ihrer bisherigen sozialistischen Gesellschafts- und Staatsordnung werden nicht mehr angewendet.</w:t>
      </w:r>
    </w:p>
    <w:p>
      <w:r>
        <w:rPr>
          <w:color w:val="555555"/>
          <w:sz w:val="17"/>
        </w:rPr>
        <w:t xml:space="preserve">Zitiervorschlag: Art 2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