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WWSUVtr — Umweltschutz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Schutz von Menschen, Tieren und Pflanzen, Boden, Wasser, Luft, Klima und Landschaft sowie von Kultur- und sonstigen Sachgütern vor schädlichen Umwelteinwirkungen ist besonderes Anliegen beider Vertragsparteien. Sie lassen sich dabei von dem Vorsorge-, Verursacher- und Kooperationsprinzip leiten. Sie streben die schnelle Verwirklichung einer deutschen Umweltunion an.</w:t>
      </w:r>
    </w:p>
    <w:p>
      <w:r>
        <w:t xml:space="preserve">(2) Die Deutsche Demokratische Republik trifft Regelungen, die mit Inkrafttreten dieses Vertrags sicherstellen, daß auf ihrem Gebiet für neue Anlagen und Einrichtungen die in der Bundesrepublik Deutschland geltenden Sicherheits- und Umweltschutzanforderungen Voraussetzung für die Erteilung umweltrechtlicher Genehmigungen sind. Für bestehende Anlagen und Einrichtungen trifft die Deutsche Demokratische Republik Regelungen, die möglichst schnell zu entsprechenden Anforderungen führen.</w:t>
      </w:r>
    </w:p>
    <w:p>
      <w:r>
        <w:t xml:space="preserve">(3) Die Deutsche Demokratische Republik wird parallel zur Entwicklung des föderativen Staatsaufbaus auf Länderebene und mit dem Entstehen einer Verwaltungsgerichtsbarkeit das Umweltrecht der Bundesrepublik Deutschland übernehmen.</w:t>
      </w:r>
    </w:p>
    <w:p>
      <w:r>
        <w:t xml:space="preserve">(4) Bei der weiteren Gestaltung eines gemeinsamen Umweltrechts werden die Umweltanforderungen der Bundesrepublik Deutschland und der Deutschen Demokratischen Republik so schnell wie möglich auf hohem Niveau angeglichen und weiterentwickelt.</w:t>
      </w:r>
    </w:p>
    <w:p>
      <w:r>
        <w:t xml:space="preserve">(5) Die Deutsche Demokratische Republik harmonisiert die Bestimmungen zur staatlichen Förderung von Umweltschutzmaßnahmen mit denen der Bundesrepublik Deutschland.</w:t>
      </w:r>
    </w:p>
    <w:p>
      <w:r>
        <w:rPr>
          <w:color w:val="555555"/>
          <w:sz w:val="17"/>
        </w:rPr>
        <w:t xml:space="preserve">Zitiervorschlag: Art 16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