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WWSUVtr — Voraussetzungen und Grundsätze</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Durch die Errichtung einer Währungsunion zwischen den Vertragsparteien ist die Deutsche Mark Zahlungsmittel, Rechnungseinheit und Wertaufbewahrungsmittel im gesamten Währungsgebiet. Zu diesem Zweck wird die geldpolitische Verantwortung der Deutschen Bundesbank als alleiniger Emissionsbank dieser Währung auf das gesamte Währungsgebiet ausgeweitet. Das Recht zur Ausgabe von Münzen obliegt ausschließlich der Bundesrepublik Deutschland.</w:t>
      </w:r>
    </w:p>
    <w:p>
      <w:r>
        <w:t xml:space="preserve">(2) Die Nutzung der Vorteile der Währungsunion setzt einen stabilen Geldwert für die Wirtschaft der Deutschen Demokratischen Republik voraus, ebenso muß die Währungsstabilität in der Bundesrepublik Deutschland gewährleistet bleiben. Die Vertragsparteien wählen deshalb Umstellungsmodalitäten, die keine Inflationsimpulse im Gesamtbereich der Währungsunion entstehen lassen und gleichzeitig die Wettbewerbsfähigkeit der Unternehmen in der Deutschen Demokratischen Republik stärken.</w:t>
      </w:r>
    </w:p>
    <w:p>
      <w:r>
        <w:t xml:space="preserve">(3) Die deutsche Bundesbank regelt durch den Einsatz ihrer Instrumente in eigener Verantwortung, gemäß § 12 Bundesbankgesetz unabhängig von Weisungen der Regierungen der Vertragsparteien, den Geldumlauf und die Kreditversorgung im gesamten Währungsgebiet mit dem Ziel, die Währung zu sichern.</w:t>
      </w:r>
    </w:p>
    <w:p>
      <w:r>
        <w:t xml:space="preserve">(4) Voraussetzung für die monetäre Steuerung ist, daß die Deutsche Demokratische Republik ein marktwirtschaftliches Kreditsystem aufbaut. Dazu gehört ein nach privatwirtschaftlichen Grundsätzen operierendes Geschäftsbankensystem im Wettbewerb privater, genossenschaftlicher und öffentlich-rechtlicher Banken, ein freier Geld- und Kapitalmarkt und eine nicht reglementierte Zinsbildung an den Finanzmärkten.</w:t>
      </w:r>
    </w:p>
    <w:p>
      <w:r>
        <w:t xml:space="preserve">(5) Um die in den Absätzen 1 bis 4 bezeichneten Ziele zu erreichen, vereinbaren die Vertragsparteien nach näherer Maßgabe der in der Anlage I niedergelegten Bestimmungen folgende Grundsätze für die Währungsunion:</w:t>
      </w:r>
    </w:p>
    <w:p>
      <w:pPr>
        <w:ind w:left="420"/>
      </w:pPr>
      <w:r>
        <w:t xml:space="preserve">- Mit Wirkung vom 1. Juli 1990 wird die Deutsche Mark als Währung in der Deutschen Demokratischen Republik eingeführt. Die von der Deutschen Bundesbank ausgegebenen, auf Deutsche Mark lautenden Banknoten und die von der Bundesrepublik Deutschland ausgegebenen, auf Deutsche Mark oder Pfennig lautenden Bundesmünzen sind vom 1. Juli 1990 an alleiniges gesetzliches Zahlungsmittel.</w:t>
      </w:r>
    </w:p>
    <w:p>
      <w:pPr>
        <w:ind w:left="420"/>
      </w:pPr>
      <w:r>
        <w:t xml:space="preserve">- Löhne, Gehälter, Stipendien, Renten, Mieten und Pachten sowie weitere wiederkehrende Zahlungen werden im Verhältnis 1 zu 1 umgestellt.</w:t>
      </w:r>
    </w:p>
    <w:p>
      <w:pPr>
        <w:ind w:left="420"/>
      </w:pPr>
      <w:r>
        <w:t xml:space="preserve">- Alle anderen auf Mark der Deutschen Demokratischen Republik lautenden Forderungen und Verbindlichkeiten werden grundsätzlich im Verhältnis 2 zu 1 auf Deutsche Mark umgestellt.</w:t>
      </w:r>
    </w:p>
    <w:p>
      <w:pPr>
        <w:ind w:left="420"/>
      </w:pPr>
      <w:r>
        <w:t xml:space="preserve">- Die Umstellung von auf Mark der Deutschen Demokratischen Republik lautenden Banknoten und Münzen ist nur für Personen oder Stellen mit Wohnsitz oder Sitz in der Deutschen Demokratischen Republik über Konten bei Geldinstituten in der Deutschen Demokratischen Republik möglich, auf die die umzustellenden Bargeldbeträge eingezahlt werden können.</w:t>
      </w:r>
    </w:p>
    <w:p>
      <w:pPr>
        <w:ind w:left="420"/>
      </w:pPr>
      <w:r>
        <w:t xml:space="preserve">- Guthaben bei Geldinstituten von natürlichen Personen mit Wohnsitz in der Deutschen Demokratischen Republik werden auf Antrag bis zu bestimmten Betragsgrenzen im Verhältnis 1 zu 1 umgestellt, wobei eine Differenzierung nach dem Lebensalter des Berechtigten stattfindet.</w:t>
      </w:r>
    </w:p>
    <w:p>
      <w:pPr>
        <w:ind w:left="420"/>
      </w:pPr>
      <w:r>
        <w:t xml:space="preserve">- Sonderregelungen gelten für Guthaben von Personen, deren Wohnsitz oder Sitz sich außerhalb der Deutschen Demokratischen Republik befindet.</w:t>
      </w:r>
    </w:p>
    <w:p>
      <w:pPr>
        <w:ind w:left="420"/>
      </w:pPr>
      <w:r>
        <w:t xml:space="preserve">- Mißbräuchen wird entgegengewirkt.</w:t>
      </w:r>
    </w:p>
    <w:p>
      <w:r>
        <w:t xml:space="preserve">(6) Nach einer Bestandsaufnahme des volkseigenen Vermögens und seiner Ertragsfähigkeit sowie nach seiner vorrangigen Nutzung für die Strukturanpassung der Wirtschaft und für die Sanierung des Staatshaushalts wird die Deutsche Demokratische Republik nach Möglichkeit vorsehen, daß den Sparern zu einem späteren Zeitpunkt für den bei der Umstellung 2 zu 1 reduzierten Betrag ein verbrieftes Anteilsrecht am volkseigenen Vermögen eingeräumt werden kann.</w:t>
      </w:r>
    </w:p>
    <w:p>
      <w:r>
        <w:t xml:space="preserve">(7) Die Deutsche Bundesbank übt die ihr nach diesem Vertrag und nach dem Gesetz über die Deutsche Bundesbank zustehenden Befugnisse im gesamten Währungsgebiet aus. Sie errichtet zu diesem Zweck eine Vorläufige Verwaltungsstelle in Berlin mit bis zu fünfzehn Filialen in der Deutschen Demokratischen Republik, wozu die Betriebsstellen der Staatsbank der Deutschen Demokratischen Republik genutzt werden.</w:t>
      </w:r>
    </w:p>
    <w:p>
      <w:r>
        <w:rPr>
          <w:color w:val="555555"/>
          <w:sz w:val="17"/>
        </w:rPr>
        <w:t xml:space="preserve">Zitiervorschlag: Art 10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