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36 WWSUG — Berlin-Klausel</w:t>
      </w:r>
    </w:p>
    <w:p>
      <w:r>
        <w:rPr>
          <w:color w:val="555555"/>
          <w:sz w:val="18"/>
        </w:rPr>
        <w:t xml:space="preserve">Gesetz zu dem Vertrag vom 18. Mai 1990 über die Schaffung einer Währungs-, Wirtschafts- und Sozialunion zwischen der Bundesrepublik Deutschland und der Deutschen Demokratischen Republik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auch im Land Berlin, sofern das Land Berlin die Anwendung dieses Gesetzes feststellt. Rechtsverordnungen, die auf Grund dieses Gesetzes erlassen werden, gelten im Land Berlin nach § 14 des Dritten Überleitungsgesetzes.</w:t>
      </w:r>
    </w:p>
    <w:p>
      <w:r>
        <w:rPr>
          <w:color w:val="555555"/>
          <w:sz w:val="17"/>
        </w:rPr>
        <w:t xml:space="preserve">Zitiervorschlag: Art 36 WWSUG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https://recht.nulegal.eu/gesetze/WWSUG/36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