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 2 WWSUG — Gefährdende Beschäftigungszeiten</w:t>
      </w:r>
    </w:p>
    <w:p>
      <w:r>
        <w:rPr>
          <w:color w:val="555555"/>
          <w:sz w:val="18"/>
        </w:rPr>
        <w:t xml:space="preserve">Gesetz zu dem Vertrag vom 18. Mai 1990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(1) Haben Personen, die ihren gewöhnlichen Aufenthalt im Geltungsbereich dieses Gesetzes nach dem 18. Mai 1990 begründet haben, sowohl in der Deutschen Demokratischen Republik einschließlich Berlin (Ost) als auch im Geltungsbereich dieses Gesetzes eine Tätigkeit ausgeübt, durch die eine Berufskrankheit verursacht sein kann, gelten für die Voraussetzungen von Leistungen die in der Deutschen Demokratischen Republik einschließlich Berlin (Ost) zurückgelegten Beschäftigungszeiten als im Geltungsbereich dieses Gesetzes zurückgelegt.</w:t>
      </w:r>
    </w:p>
    <w:p>
      <w:r>
        <w:t xml:space="preserve">(2) Für Personen, die ihren gewöhnlichen Aufenthalt im Geltungsbereich dieses Gesetzes nach dem 18. Mai 1990 begründet haben, gilt § 581 Abs. 3 Satz 3 der Reichsversicherungsordnung auch hinsichtlich der in der Deutschen Demokratischen Republik einschließlich Berlin (Ost) eingetretenen Arbeitsunfälle und entsprechenden Entschädigungsfälle.</w:t>
      </w:r>
    </w:p>
    <w:p>
      <w:r>
        <w:rPr>
          <w:color w:val="555555"/>
          <w:sz w:val="17"/>
        </w:rPr>
        <w:t xml:space="preserve">Zitiervorschlag: Art 24 § 2 WWSUG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https://recht.nulegal.eu/gesetze/WWSUG/24-2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