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 1 WWSUG — Ausschluß der Anwendung des Fremdrentenrechts</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Auf Arbeitsunfälle, die nach dem 18. Mai 1990 im Zuständigkeitsbereich eines Trägers der gesetzlichen Unfallversicherung im Gebiet der Deutschen Demokratischen Republik einschließlich Berlin (Ost) eingetreten sind, ist das Fremdrentenrecht nicht anzuwenden.</w:t>
      </w:r>
    </w:p>
    <w:p>
      <w:r>
        <w:t xml:space="preserve">(2) Auf Arbeitsunfälle, die bis zum 18. Mai 1990 im Zuständigkeitsbereich eines Trägers der gesetzlichen Unfallversicherung im Gebiet der Deutschen Demokratischen Republik einschließlich Berlin (Ost) eingetreten sind, ist das Fremdrentenrecht nicht anzuwenden, wenn am 18. Mai 1990 ein gewöhnlicher Aufenthalt außerhalb des Geltungsbereichs dieses Gesetzes vorgelegen hat. Satz 1 gilt nicht, wenn am 18. Mai 1990 ein gewöhnlicher Aufenthalt im Ausland vorlag und unmittelbar vor Beginn des Auslandsaufenthalts ein gewöhnlicher Aufenthalt im Geltungsbereich dieses Gesetzes vorhanden war; § 12 Abs. 1 Fremdrentenrecht bleibt unberührt.</w:t>
      </w:r>
    </w:p>
    <w:p>
      <w:r>
        <w:rPr>
          <w:color w:val="555555"/>
          <w:sz w:val="17"/>
        </w:rPr>
        <w:t xml:space="preserve">Zitiervorschlag: Art 24 § 1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