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§ 1 WWSUG — Befreiung von der Versicherungspflicht in besonderen Fällen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für begrenzte Zeit im Geltungsbereich dieses Gesetzes beschäftigt sind, werden auf ihren Antrag von der Versicherungs- und Beitragspflicht befreit, wenn sie nach den Rechtsvorschriften der Deutschen Demokratischen Republik versichert sind.</w:t>
      </w:r>
    </w:p>
    <w:p>
      <w:r>
        <w:t xml:space="preserve">(2) Über die Befreiung entscheidet die zuständige Einzugsstelle (§ 28i des Vierten Buches Sozialgesetzbuch).</w:t>
      </w:r>
    </w:p>
    <w:p>
      <w:r>
        <w:t xml:space="preserve">(3) Die Befreiung wirkt vom Vorliegen der Befreiungsvoraussetzungen an, wenn sie innerhalb von drei Monaten nach Eintritt der Versicherungs- und Beitragspflicht beantragt wird, sonst ab Eingang des Antrags.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Art 22 § 1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https://recht.nulegal.eu/gesetze/WWSUG/22-1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