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WVwAÜG — Karrierecenter der Bundeswehr</w:t>
      </w:r>
    </w:p>
    <w:p>
      <w:r>
        <w:rPr>
          <w:color w:val="555555"/>
          <w:sz w:val="18"/>
        </w:rPr>
        <w:t xml:space="preserve">Wehrverwaltungsaufgabenübertragungsgesetz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Aufgaben und Befugnisse, die in Rechtsvorschriften des Bundes den Kreiswehrersatzämtern zugewiesen sind, werden den Karrierecentern der Bundeswehr übertragen.</w:t>
      </w:r>
    </w:p>
    <w:p>
      <w:r>
        <w:rPr>
          <w:color w:val="555555"/>
          <w:sz w:val="17"/>
        </w:rPr>
        <w:t xml:space="preserve">Zitiervorschlag: § 2 WVwAÜG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https://recht.nulegal.eu/gesetze/WVwA%C3%9CG/2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