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WVG — Beteiligte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Beteiligte im Sinne dieses Gesetzes sind die nach § 4 als Verbandsmitglieder in Betracht kommenden Personen,</w:t>
      </w:r>
    </w:p>
    <w:p>
      <w:pPr>
        <w:ind w:left="420"/>
      </w:pPr>
      <w:r>
        <w:t xml:space="preserve">1. die aus der Durchführung der Verbandsaufgabe einen Vorteil haben oder zu erwarten haben,</w:t>
      </w:r>
    </w:p>
    <w:p>
      <w:pPr>
        <w:ind w:left="420"/>
      </w:pPr>
      <w:r>
        <w:t xml:space="preserve">2. von deren Anlagen oder Grundstücken nachteilige Einwirkungen auf das Verbandsunternehmen ausgehen oder zu erwarten sind oder</w:t>
      </w:r>
    </w:p>
    <w:p>
      <w:pPr>
        <w:ind w:left="420"/>
      </w:pPr>
      <w:r>
        <w:t xml:space="preserve">3. die voraussichtlich Maßnahmen des Verbands zu dulden haben,</w:t>
      </w:r>
    </w:p>
    <w:p>
      <w:r>
        <w:t xml:space="preserve">wenn sie von der Aufsichtsbehörde nach § 13 Abs. 1 Satz 1 als Beteiligte festgestellt worden sind. Gemeinsame Eigentümer oder Erbbauberechtigte gelten als ein Beteiligter.</w:t>
      </w:r>
    </w:p>
    <w:p>
      <w:r>
        <w:t xml:space="preserve">(2) Vorteile im Sinne dieses Gesetzes sind auch die Abnahme und die Erleichterung einer Pflicht und die Möglichkeit, Maßnahmen des Verbands zweckmäßig oder wirtschaftlich auszunutzen.</w:t>
      </w:r>
    </w:p>
    <w:p>
      <w:r>
        <w:rPr>
          <w:color w:val="555555"/>
          <w:sz w:val="17"/>
        </w:rPr>
        <w:t xml:space="preserve">Zitiervorschlag: § 8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