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WVG — Bestehende Verbände</w:t>
      </w:r>
    </w:p>
    <w:p>
      <w:r>
        <w:rPr>
          <w:color w:val="555555"/>
          <w:sz w:val="18"/>
        </w:rPr>
        <w:t xml:space="preserve">Wasserverbandsgesetz</w:t>
      </w:r>
    </w:p>
    <w:p>
      <w:r>
        <w:rPr>
          <w:color w:val="555555"/>
          <w:sz w:val="18"/>
        </w:rPr>
        <w:t xml:space="preserve">Stand: 10.06.2019 (konsolidierte Textfassung, kein amtliches Inkrafttretensdatum)</w:t>
      </w:r>
    </w:p>
    <w:p>
      <w:r>
        <w:t xml:space="preserve">(1) Die Rechtsstellung der bei Inkrafttreten dieses Gesetzes bestehenden Verbände (Altverbände) wird durch § 78 Abs. 1 nicht berührt.</w:t>
      </w:r>
    </w:p>
    <w:p>
      <w:r>
        <w:t xml:space="preserve">(2) Entsprechen Satzung und innere Organisation von Altverbänden den Vorschriften dieses Gesetzes nicht, sind sie innerhalb von fünf Jahren nach Inkrafttreten dieses Gesetzes dessen Vorschriften anzupassen. Dies gilt nicht für die Aufgaben des Verbands, die Bestimmungen darüber, wer Verbandsmitglied ist, den Beitragsmaßstab sowie das Stimmenverhältnis in der Verbandsversammlung.</w:t>
      </w:r>
    </w:p>
    <w:p>
      <w:r>
        <w:t xml:space="preserve">(3) Für Altverbände kann innerhalb von fünf Jahren nach Inkrafttreten dieses Gesetzes durch Landesrecht eine vereinfachte Möglichkeit der Auflösung, der Übertragung von Aufgaben und des Zusammenschlusses von Amts wegen zugelassen werden.</w:t>
      </w:r>
    </w:p>
    <w:p>
      <w:r>
        <w:rPr>
          <w:color w:val="555555"/>
          <w:sz w:val="17"/>
        </w:rPr>
        <w:t xml:space="preserve">Zitiervorschlag: § 79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