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WVG — Außerkrafttreten</w:t>
      </w:r>
    </w:p>
    <w:p>
      <w:r>
        <w:rPr>
          <w:color w:val="555555"/>
          <w:sz w:val="18"/>
        </w:rPr>
        <w:t xml:space="preserve">Wasserverbandsgesetz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nachfolgend nichts anderes bestimmt ist, treten mit dem Inkrafttreten dieses Gesetzes</w:t>
      </w:r>
    </w:p>
    <w:p>
      <w:pPr>
        <w:ind w:left="420"/>
      </w:pPr>
      <w:r>
        <w:t xml:space="preserve">1. das Gesetz über Wasser- und Bodenverbände in der im Bundesgesetzblatt Teil III, Gliederungsnummer 753-2, veröffentlichten bereinigten Fassung,</w:t>
      </w:r>
    </w:p>
    <w:p>
      <w:pPr>
        <w:ind w:left="420"/>
      </w:pPr>
      <w:r>
        <w:t xml:space="preserve">2. die Erste Verordnung über Wasser- und Bodenverbände in der im Bundesgesetzblatt Teil III, Gliederungsnummer 753-2-1, veröffentlichten bereinigten Fassung</w:t>
      </w:r>
    </w:p>
    <w:p>
      <w:r>
        <w:t xml:space="preserve">mit den dazu erlassenen Ausführungsvorschriften außer Kraft.</w:t>
      </w:r>
    </w:p>
    <w:p>
      <w:r>
        <w:t xml:space="preserve">(2) Rechtsbehelfsverfahren sowie Verfahren zur Gründung, Satzungsänderung, Umgestaltung oder Auflösung von Verbänden, die bei Inkrafttreten dieses Gesetzes anhängig sind, werden nach dem bisher geltenden Recht fortgeführt.</w:t>
      </w:r>
    </w:p>
    <w:p>
      <w:r>
        <w:t xml:space="preserve">(3) Bis zum Inkrafttreten neuer landesrechtlicher Vorschriften gilt für den Haushalt, die Rechnungslegung und die Rechnungsprüfung das bisher geltende Recht weiter.</w:t>
      </w:r>
    </w:p>
    <w:p>
      <w:r>
        <w:rPr>
          <w:color w:val="555555"/>
          <w:sz w:val="17"/>
        </w:rPr>
        <w:t xml:space="preserve">Zitiervorschlag: § 78 WVG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https://recht.nulegal.eu/gesetze/WVG/78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