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WVG — Freiheit von Kosten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Geschäfte und Verhandlungen, die der Durchführung dieses Gesetzes dienen, sind frei von Kosten der Gerichte und der Verwaltungsbehörden; hiervon unberührt bleiben Regelungen hinsichtlich der Kosten und Abgaben, die auf landesrechtlichen Vorschriften beruhen.</w:t>
      </w:r>
    </w:p>
    <w:p>
      <w:r>
        <w:t xml:space="preserve">(2) Die Befreiung ist ohne Nachprüfung anzuerkennen, wenn die Aufsichtsbehörde bestätigt, daß ein Geschäft oder eine Verhandlung der Durchführung dieses Gesetzes dient.</w:t>
      </w:r>
    </w:p>
    <w:p>
      <w:r>
        <w:rPr>
          <w:color w:val="555555"/>
          <w:sz w:val="17"/>
        </w:rPr>
        <w:t xml:space="preserve">Zitiervorschlag: § 69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