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WVG — Anordnungsbefugnis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Verbandsmitglieder, die Eigentümer des Deichvorlands und die auf Grund eines vom Eigentümer abgeleiteten Rechts Nutzungsberechtigten haben die auf Gesetz oder Satzung beruhenden Anordnungen des Vorstands zu befolgen.</w:t>
      </w:r>
    </w:p>
    <w:p>
      <w:r>
        <w:t xml:space="preserve">(2) In der Satzung kann bestimmt werden, daß Anordnungsbefugnisse auch von einzelnen Vorstandsmitgliedern, Vorstandsmitgliedern eines Unterverbands und Dienstkräften des Verbands oder eines Unterverbands wahrgenommen werden können.</w:t>
      </w:r>
    </w:p>
    <w:p>
      <w:r>
        <w:rPr>
          <w:color w:val="555555"/>
          <w:sz w:val="17"/>
        </w:rPr>
        <w:t xml:space="preserve">Zitiervorschlag: § 68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