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WVG — Schuldübernahme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kann anordnen, daß der Verband eine Schuld übernimmt, die eine öffentlich-rechtliche Körperschaft in der vorher ausgesprochenen Absicht aufgenommen hat, das Unternehmen des Verbands vor dessen Gründung zu beginnen.</w:t>
      </w:r>
    </w:p>
    <w:p>
      <w:r>
        <w:t xml:space="preserve">(2) Die Anordnung der Behörde tritt an die Stelle der sonst erforderlichen Erklärung des Verbands.</w:t>
      </w:r>
    </w:p>
    <w:p>
      <w:r>
        <w:rPr>
          <w:color w:val="555555"/>
          <w:sz w:val="17"/>
        </w:rPr>
        <w:t xml:space="preserve">Zitiervorschlag: § 66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